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45F11" w14:textId="7F1C9CF9" w:rsidR="00103AF5" w:rsidRDefault="00103AF5" w:rsidP="00103AF5">
      <w:pPr>
        <w:snapToGrid w:val="0"/>
        <w:spacing w:after="0" w:line="240" w:lineRule="auto"/>
        <w:rPr>
          <w:rFonts w:ascii="Times New Roman" w:hAnsi="Times New Roman" w:cs="Times New Roman"/>
          <w:b/>
          <w:sz w:val="24"/>
          <w:szCs w:val="24"/>
        </w:rPr>
      </w:pPr>
      <w:r>
        <w:rPr>
          <w:rFonts w:ascii="Times New Roman" w:hAnsi="Times New Roman" w:cs="Times New Roman"/>
          <w:b/>
          <w:sz w:val="24"/>
          <w:szCs w:val="24"/>
        </w:rPr>
        <w:t>Detection and attribution of an anomaly in</w:t>
      </w:r>
      <w:r w:rsidRPr="004F3E51">
        <w:rPr>
          <w:rFonts w:ascii="Times New Roman" w:hAnsi="Times New Roman" w:cs="Times New Roman"/>
          <w:b/>
          <w:sz w:val="24"/>
          <w:szCs w:val="24"/>
        </w:rPr>
        <w:t xml:space="preserve"> terrestrial photosynthesis in Europe during the COVID-19 lockdown </w:t>
      </w:r>
    </w:p>
    <w:p w14:paraId="07BF0295" w14:textId="77777777" w:rsidR="00103AF5" w:rsidRDefault="00103AF5" w:rsidP="00103AF5">
      <w:pPr>
        <w:snapToGrid w:val="0"/>
        <w:spacing w:after="0" w:line="240" w:lineRule="auto"/>
        <w:rPr>
          <w:rFonts w:ascii="Times New Roman" w:hAnsi="Times New Roman" w:cs="Times New Roman"/>
          <w:b/>
          <w:sz w:val="24"/>
          <w:szCs w:val="24"/>
        </w:rPr>
      </w:pPr>
    </w:p>
    <w:p w14:paraId="7ADFE27E" w14:textId="77777777" w:rsidR="00103AF5" w:rsidRDefault="00103AF5" w:rsidP="00103AF5">
      <w:pPr>
        <w:snapToGrid w:val="0"/>
        <w:spacing w:after="0" w:line="480" w:lineRule="auto"/>
        <w:rPr>
          <w:rFonts w:ascii="Times New Roman" w:hAnsi="Times New Roman" w:cs="Times New Roman"/>
          <w:bCs/>
          <w:sz w:val="24"/>
          <w:szCs w:val="24"/>
        </w:rPr>
      </w:pPr>
      <w:r w:rsidRPr="002A242F">
        <w:rPr>
          <w:rFonts w:ascii="Times New Roman" w:hAnsi="Times New Roman" w:cs="Times New Roman"/>
          <w:bCs/>
          <w:sz w:val="24"/>
          <w:szCs w:val="24"/>
        </w:rPr>
        <w:t xml:space="preserve">Running title: </w:t>
      </w:r>
      <w:r>
        <w:rPr>
          <w:rFonts w:ascii="Times New Roman" w:hAnsi="Times New Roman" w:cs="Times New Roman"/>
          <w:bCs/>
          <w:sz w:val="24"/>
          <w:szCs w:val="24"/>
        </w:rPr>
        <w:t>Gross photosynthesis during COVID-19 lockdown</w:t>
      </w:r>
    </w:p>
    <w:p w14:paraId="7A00FB60" w14:textId="77777777" w:rsidR="00103AF5" w:rsidRPr="004F3E51" w:rsidRDefault="00103AF5" w:rsidP="00103AF5">
      <w:pPr>
        <w:snapToGrid w:val="0"/>
        <w:spacing w:after="0" w:line="240" w:lineRule="auto"/>
        <w:rPr>
          <w:rFonts w:ascii="Times New Roman" w:hAnsi="Times New Roman" w:cs="Times New Roman"/>
          <w:sz w:val="24"/>
          <w:szCs w:val="24"/>
          <w:vertAlign w:val="superscript"/>
        </w:rPr>
      </w:pPr>
      <w:r w:rsidRPr="004F3E51">
        <w:rPr>
          <w:rFonts w:ascii="Times New Roman" w:hAnsi="Times New Roman" w:cs="Times New Roman"/>
          <w:sz w:val="24"/>
          <w:szCs w:val="24"/>
        </w:rPr>
        <w:t>Angela Che Ing Tang</w:t>
      </w:r>
      <w:r w:rsidRPr="004F3E51">
        <w:rPr>
          <w:rFonts w:ascii="Times New Roman" w:hAnsi="Times New Roman" w:cs="Times New Roman"/>
          <w:sz w:val="24"/>
          <w:szCs w:val="24"/>
          <w:vertAlign w:val="superscript"/>
        </w:rPr>
        <w:t>1*</w:t>
      </w:r>
      <w:r w:rsidRPr="004F3E51">
        <w:rPr>
          <w:rFonts w:ascii="Times New Roman" w:hAnsi="Times New Roman" w:cs="Times New Roman"/>
          <w:sz w:val="24"/>
          <w:szCs w:val="24"/>
        </w:rPr>
        <w:t>, Christophe Flechard</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Nicola Arriga</w:t>
      </w:r>
      <w:r w:rsidRPr="004F3E51">
        <w:rPr>
          <w:rFonts w:ascii="Times New Roman" w:hAnsi="Times New Roman" w:cs="Times New Roman"/>
          <w:sz w:val="24"/>
          <w:szCs w:val="24"/>
          <w:vertAlign w:val="superscript"/>
        </w:rPr>
        <w:t>3</w:t>
      </w:r>
      <w:r w:rsidRPr="004F3E51">
        <w:rPr>
          <w:rFonts w:ascii="Times New Roman" w:hAnsi="Times New Roman" w:cs="Times New Roman"/>
          <w:sz w:val="24"/>
          <w:szCs w:val="24"/>
        </w:rPr>
        <w:t>, Dario Papale</w:t>
      </w:r>
      <w:r w:rsidRPr="004F3E51">
        <w:rPr>
          <w:rFonts w:ascii="Times New Roman" w:hAnsi="Times New Roman" w:cs="Times New Roman"/>
          <w:sz w:val="24"/>
          <w:szCs w:val="24"/>
          <w:vertAlign w:val="superscript"/>
        </w:rPr>
        <w:t>4,5</w:t>
      </w:r>
      <w:r w:rsidRPr="004F3E51">
        <w:rPr>
          <w:rFonts w:ascii="Times New Roman" w:hAnsi="Times New Roman" w:cs="Times New Roman"/>
          <w:sz w:val="24"/>
          <w:szCs w:val="24"/>
        </w:rPr>
        <w:t>, Paul C. Stoy</w:t>
      </w:r>
      <w:r w:rsidRPr="004F3E51">
        <w:rPr>
          <w:rFonts w:ascii="Times New Roman" w:hAnsi="Times New Roman" w:cs="Times New Roman"/>
          <w:sz w:val="24"/>
          <w:szCs w:val="24"/>
          <w:vertAlign w:val="superscript"/>
        </w:rPr>
        <w:t>6</w:t>
      </w:r>
      <w:r w:rsidRPr="004F3E51">
        <w:rPr>
          <w:rFonts w:ascii="Times New Roman" w:hAnsi="Times New Roman" w:cs="Times New Roman"/>
          <w:sz w:val="24"/>
          <w:szCs w:val="24"/>
        </w:rPr>
        <w:t>, Nina Buchmann</w:t>
      </w:r>
      <w:r w:rsidRPr="004F3E51">
        <w:rPr>
          <w:rFonts w:ascii="Times New Roman" w:hAnsi="Times New Roman" w:cs="Times New Roman"/>
          <w:sz w:val="24"/>
          <w:szCs w:val="24"/>
          <w:vertAlign w:val="superscript"/>
        </w:rPr>
        <w:t>7</w:t>
      </w:r>
      <w:r w:rsidRPr="004F3E51">
        <w:rPr>
          <w:rFonts w:ascii="Times New Roman" w:hAnsi="Times New Roman" w:cs="Times New Roman"/>
          <w:sz w:val="24"/>
          <w:szCs w:val="24"/>
        </w:rPr>
        <w:t>, Matthias Cuntz</w:t>
      </w:r>
      <w:r w:rsidRPr="004F3E51">
        <w:rPr>
          <w:rFonts w:ascii="Times New Roman" w:hAnsi="Times New Roman" w:cs="Times New Roman"/>
          <w:sz w:val="24"/>
          <w:szCs w:val="24"/>
          <w:vertAlign w:val="superscript"/>
        </w:rPr>
        <w:t>8</w:t>
      </w:r>
      <w:r w:rsidRPr="004F3E51">
        <w:rPr>
          <w:rFonts w:ascii="Times New Roman" w:hAnsi="Times New Roman" w:cs="Times New Roman"/>
          <w:sz w:val="24"/>
          <w:szCs w:val="24"/>
        </w:rPr>
        <w:t>, John Douros</w:t>
      </w:r>
      <w:r w:rsidRPr="004F3E51">
        <w:rPr>
          <w:rFonts w:ascii="Times New Roman" w:hAnsi="Times New Roman" w:cs="Times New Roman"/>
          <w:sz w:val="24"/>
          <w:szCs w:val="24"/>
          <w:vertAlign w:val="superscript"/>
        </w:rPr>
        <w:t>9</w:t>
      </w:r>
      <w:r w:rsidRPr="004F3E51">
        <w:rPr>
          <w:rFonts w:ascii="Times New Roman" w:hAnsi="Times New Roman" w:cs="Times New Roman"/>
          <w:sz w:val="24"/>
          <w:szCs w:val="24"/>
        </w:rPr>
        <w:t>, Silvano Fares</w:t>
      </w:r>
      <w:r w:rsidRPr="004F3E51">
        <w:rPr>
          <w:rFonts w:ascii="Times New Roman" w:hAnsi="Times New Roman" w:cs="Times New Roman"/>
          <w:sz w:val="24"/>
          <w:szCs w:val="24"/>
          <w:vertAlign w:val="superscript"/>
        </w:rPr>
        <w:t>10</w:t>
      </w:r>
      <w:r w:rsidRPr="004F3E51">
        <w:rPr>
          <w:rFonts w:ascii="Times New Roman" w:hAnsi="Times New Roman" w:cs="Times New Roman"/>
          <w:sz w:val="24"/>
          <w:szCs w:val="24"/>
        </w:rPr>
        <w:t>, Alexander Knohl</w:t>
      </w:r>
      <w:r w:rsidRPr="004F3E51">
        <w:rPr>
          <w:rFonts w:ascii="Times New Roman" w:hAnsi="Times New Roman" w:cs="Times New Roman"/>
          <w:sz w:val="24"/>
          <w:szCs w:val="24"/>
          <w:vertAlign w:val="superscript"/>
        </w:rPr>
        <w:t>11</w:t>
      </w:r>
      <w:r w:rsidRPr="004F3E51">
        <w:rPr>
          <w:rFonts w:ascii="Times New Roman" w:hAnsi="Times New Roman" w:cs="Times New Roman"/>
          <w:sz w:val="24"/>
          <w:szCs w:val="24"/>
        </w:rPr>
        <w:t>, Ladislav Šigut</w:t>
      </w:r>
      <w:r w:rsidRPr="004F3E51">
        <w:rPr>
          <w:rFonts w:ascii="Times New Roman" w:hAnsi="Times New Roman" w:cs="Times New Roman"/>
          <w:sz w:val="24"/>
          <w:szCs w:val="24"/>
          <w:vertAlign w:val="superscript"/>
        </w:rPr>
        <w:t>12</w:t>
      </w:r>
      <w:r w:rsidRPr="004F3E51">
        <w:rPr>
          <w:rFonts w:ascii="Times New Roman" w:hAnsi="Times New Roman" w:cs="Times New Roman"/>
          <w:sz w:val="24"/>
          <w:szCs w:val="24"/>
        </w:rPr>
        <w:t>, Guillaume Simioni</w:t>
      </w:r>
      <w:r w:rsidRPr="004F3E51">
        <w:rPr>
          <w:rFonts w:ascii="Times New Roman" w:hAnsi="Times New Roman" w:cs="Times New Roman"/>
          <w:sz w:val="24"/>
          <w:szCs w:val="24"/>
          <w:vertAlign w:val="superscript"/>
        </w:rPr>
        <w:t>13</w:t>
      </w:r>
      <w:r w:rsidRPr="004F3E51">
        <w:rPr>
          <w:rFonts w:ascii="Times New Roman" w:hAnsi="Times New Roman" w:cs="Times New Roman"/>
          <w:sz w:val="24"/>
          <w:szCs w:val="24"/>
        </w:rPr>
        <w:t>, Renske Timmermans</w:t>
      </w:r>
      <w:r w:rsidRPr="004F3E51">
        <w:rPr>
          <w:rFonts w:ascii="Times New Roman" w:hAnsi="Times New Roman" w:cs="Times New Roman"/>
          <w:sz w:val="24"/>
          <w:szCs w:val="24"/>
          <w:vertAlign w:val="superscript"/>
        </w:rPr>
        <w:t>14</w:t>
      </w:r>
      <w:r w:rsidRPr="004F3E51">
        <w:rPr>
          <w:rFonts w:ascii="Times New Roman" w:hAnsi="Times New Roman" w:cs="Times New Roman"/>
          <w:sz w:val="24"/>
          <w:szCs w:val="24"/>
          <w:lang w:val="en-MY"/>
        </w:rPr>
        <w:t xml:space="preserve">, </w:t>
      </w:r>
      <w:r w:rsidRPr="004F3E51">
        <w:rPr>
          <w:rFonts w:ascii="Times New Roman" w:hAnsi="Times New Roman" w:cs="Times New Roman"/>
          <w:sz w:val="24"/>
          <w:szCs w:val="24"/>
        </w:rPr>
        <w:t>Thomas Grünwald</w:t>
      </w:r>
      <w:r w:rsidRPr="004F3E51">
        <w:rPr>
          <w:rFonts w:ascii="Times New Roman" w:hAnsi="Times New Roman" w:cs="Times New Roman"/>
          <w:sz w:val="24"/>
          <w:szCs w:val="24"/>
          <w:vertAlign w:val="superscript"/>
        </w:rPr>
        <w:t>15</w:t>
      </w:r>
      <w:r w:rsidRPr="004F3E51">
        <w:rPr>
          <w:rFonts w:ascii="Times New Roman" w:hAnsi="Times New Roman" w:cs="Times New Roman"/>
          <w:sz w:val="24"/>
          <w:szCs w:val="24"/>
        </w:rPr>
        <w:t>, Andreas Ibrom</w:t>
      </w:r>
      <w:r w:rsidRPr="004F3E51">
        <w:rPr>
          <w:rFonts w:ascii="Times New Roman" w:hAnsi="Times New Roman" w:cs="Times New Roman"/>
          <w:sz w:val="24"/>
          <w:szCs w:val="24"/>
          <w:vertAlign w:val="superscript"/>
        </w:rPr>
        <w:t>16</w:t>
      </w:r>
      <w:r w:rsidRPr="004F3E51">
        <w:rPr>
          <w:rFonts w:ascii="Times New Roman" w:hAnsi="Times New Roman" w:cs="Times New Roman"/>
          <w:sz w:val="24"/>
          <w:szCs w:val="24"/>
        </w:rPr>
        <w:t xml:space="preserve">, </w:t>
      </w:r>
      <w:r>
        <w:rPr>
          <w:rFonts w:ascii="Times New Roman" w:hAnsi="Times New Roman" w:cs="Times New Roman"/>
          <w:sz w:val="24"/>
          <w:szCs w:val="24"/>
        </w:rPr>
        <w:t>Benjamin Loubet</w:t>
      </w:r>
      <w:r w:rsidRPr="00DA402D">
        <w:rPr>
          <w:rFonts w:ascii="Times New Roman" w:hAnsi="Times New Roman" w:cs="Times New Roman"/>
          <w:sz w:val="24"/>
          <w:szCs w:val="24"/>
          <w:vertAlign w:val="superscript"/>
        </w:rPr>
        <w:t>17</w:t>
      </w:r>
      <w:r>
        <w:rPr>
          <w:rFonts w:ascii="Times New Roman" w:hAnsi="Times New Roman" w:cs="Times New Roman"/>
          <w:sz w:val="24"/>
          <w:szCs w:val="24"/>
        </w:rPr>
        <w:t xml:space="preserve">, </w:t>
      </w:r>
      <w:r w:rsidRPr="004F3E51">
        <w:rPr>
          <w:rFonts w:ascii="Times New Roman" w:hAnsi="Times New Roman" w:cs="Times New Roman"/>
          <w:sz w:val="24"/>
          <w:szCs w:val="24"/>
        </w:rPr>
        <w:t>Ivan Mammarella</w:t>
      </w:r>
      <w:r w:rsidRPr="004F3E5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8</w:t>
      </w:r>
      <w:r w:rsidRPr="004F3E51">
        <w:rPr>
          <w:rFonts w:ascii="Times New Roman" w:hAnsi="Times New Roman" w:cs="Times New Roman"/>
          <w:sz w:val="24"/>
          <w:szCs w:val="24"/>
        </w:rPr>
        <w:t>, Luca Belelli Marchesini</w:t>
      </w:r>
      <w:r w:rsidRPr="004F3E5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9</w:t>
      </w:r>
      <w:r w:rsidRPr="004F3E51">
        <w:rPr>
          <w:rFonts w:ascii="Times New Roman" w:hAnsi="Times New Roman" w:cs="Times New Roman"/>
          <w:sz w:val="24"/>
          <w:szCs w:val="24"/>
        </w:rPr>
        <w:t>, Mats Nilsson</w:t>
      </w:r>
      <w:r>
        <w:rPr>
          <w:rFonts w:ascii="Times New Roman" w:hAnsi="Times New Roman" w:cs="Times New Roman"/>
          <w:sz w:val="24"/>
          <w:szCs w:val="24"/>
          <w:vertAlign w:val="superscript"/>
        </w:rPr>
        <w:t>20</w:t>
      </w:r>
      <w:r w:rsidRPr="004F3E51">
        <w:rPr>
          <w:rFonts w:ascii="Times New Roman" w:hAnsi="Times New Roman" w:cs="Times New Roman"/>
          <w:sz w:val="24"/>
          <w:szCs w:val="24"/>
        </w:rPr>
        <w:t>, Matthias Peichl</w:t>
      </w:r>
      <w:r>
        <w:rPr>
          <w:rFonts w:ascii="Times New Roman" w:hAnsi="Times New Roman" w:cs="Times New Roman"/>
          <w:sz w:val="24"/>
          <w:szCs w:val="24"/>
          <w:vertAlign w:val="superscript"/>
        </w:rPr>
        <w:t>20</w:t>
      </w:r>
      <w:r w:rsidRPr="004F3E51">
        <w:rPr>
          <w:rFonts w:ascii="Times New Roman" w:hAnsi="Times New Roman" w:cs="Times New Roman"/>
          <w:sz w:val="24"/>
          <w:szCs w:val="24"/>
        </w:rPr>
        <w:t>, Marius Schmidt</w:t>
      </w:r>
      <w:r w:rsidRPr="004F3E5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1</w:t>
      </w:r>
      <w:r w:rsidRPr="004F3E51">
        <w:rPr>
          <w:rFonts w:ascii="Times New Roman" w:hAnsi="Times New Roman" w:cs="Times New Roman"/>
          <w:sz w:val="24"/>
          <w:szCs w:val="24"/>
        </w:rPr>
        <w:t>, Christian Bernhofer</w:t>
      </w:r>
      <w:r w:rsidRPr="004F3E51">
        <w:rPr>
          <w:rFonts w:ascii="Times New Roman" w:hAnsi="Times New Roman" w:cs="Times New Roman"/>
          <w:sz w:val="24"/>
          <w:szCs w:val="24"/>
          <w:vertAlign w:val="superscript"/>
        </w:rPr>
        <w:t>15</w:t>
      </w:r>
      <w:r w:rsidRPr="004F3E51">
        <w:rPr>
          <w:rFonts w:ascii="Times New Roman" w:hAnsi="Times New Roman" w:cs="Times New Roman"/>
          <w:sz w:val="24"/>
          <w:szCs w:val="24"/>
        </w:rPr>
        <w:t>, Daniel Berveiller</w:t>
      </w:r>
      <w:r w:rsidRPr="004F3E5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2</w:t>
      </w:r>
      <w:r w:rsidRPr="004F3E51">
        <w:rPr>
          <w:rFonts w:ascii="Times New Roman" w:hAnsi="Times New Roman" w:cs="Times New Roman"/>
          <w:sz w:val="24"/>
          <w:szCs w:val="24"/>
        </w:rPr>
        <w:t>, Edoardo Cremonese</w:t>
      </w:r>
      <w:r w:rsidRPr="004F3E5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3</w:t>
      </w:r>
      <w:r w:rsidRPr="004F3E51">
        <w:rPr>
          <w:rFonts w:ascii="Times New Roman" w:hAnsi="Times New Roman" w:cs="Times New Roman"/>
          <w:sz w:val="24"/>
          <w:szCs w:val="24"/>
        </w:rPr>
        <w:t>, Tarek S. El-Madany</w:t>
      </w:r>
      <w:r w:rsidRPr="004F3E5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4</w:t>
      </w:r>
      <w:r w:rsidRPr="004F3E51">
        <w:rPr>
          <w:rFonts w:ascii="Times New Roman" w:hAnsi="Times New Roman" w:cs="Times New Roman"/>
          <w:sz w:val="24"/>
          <w:szCs w:val="24"/>
        </w:rPr>
        <w:t>, Mana Gharun</w:t>
      </w:r>
      <w:r w:rsidRPr="004F3E51">
        <w:rPr>
          <w:rFonts w:ascii="Times New Roman" w:hAnsi="Times New Roman" w:cs="Times New Roman"/>
          <w:sz w:val="24"/>
          <w:szCs w:val="24"/>
          <w:vertAlign w:val="superscript"/>
        </w:rPr>
        <w:t>7,2</w:t>
      </w:r>
      <w:r>
        <w:rPr>
          <w:rFonts w:ascii="Times New Roman" w:hAnsi="Times New Roman" w:cs="Times New Roman"/>
          <w:sz w:val="24"/>
          <w:szCs w:val="24"/>
          <w:vertAlign w:val="superscript"/>
        </w:rPr>
        <w:t>5</w:t>
      </w:r>
      <w:r w:rsidRPr="004F3E51">
        <w:rPr>
          <w:rFonts w:ascii="Times New Roman" w:hAnsi="Times New Roman" w:cs="Times New Roman"/>
          <w:sz w:val="24"/>
          <w:szCs w:val="24"/>
        </w:rPr>
        <w:t>, Damiano Gianelle</w:t>
      </w:r>
      <w:r w:rsidRPr="004F3E5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9</w:t>
      </w:r>
      <w:r w:rsidRPr="004F3E51">
        <w:rPr>
          <w:rFonts w:ascii="Times New Roman" w:hAnsi="Times New Roman" w:cs="Times New Roman"/>
          <w:sz w:val="24"/>
          <w:szCs w:val="24"/>
        </w:rPr>
        <w:t>, Lukas Hörtnagl</w:t>
      </w:r>
      <w:r w:rsidRPr="004F3E51">
        <w:rPr>
          <w:rFonts w:ascii="Times New Roman" w:hAnsi="Times New Roman" w:cs="Times New Roman"/>
          <w:sz w:val="24"/>
          <w:szCs w:val="24"/>
          <w:vertAlign w:val="superscript"/>
        </w:rPr>
        <w:t>7</w:t>
      </w:r>
      <w:r w:rsidRPr="004F3E51">
        <w:rPr>
          <w:rFonts w:ascii="Times New Roman" w:hAnsi="Times New Roman" w:cs="Times New Roman"/>
          <w:sz w:val="24"/>
          <w:szCs w:val="24"/>
        </w:rPr>
        <w:t>, Marilyn Roland</w:t>
      </w:r>
      <w:r w:rsidRPr="004F3E5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6</w:t>
      </w:r>
      <w:r w:rsidRPr="004F3E51">
        <w:rPr>
          <w:rFonts w:ascii="Times New Roman" w:hAnsi="Times New Roman" w:cs="Times New Roman"/>
          <w:sz w:val="24"/>
          <w:szCs w:val="24"/>
        </w:rPr>
        <w:t>, Andrej Varlagin</w:t>
      </w:r>
      <w:r w:rsidRPr="004F3E5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7</w:t>
      </w:r>
      <w:r w:rsidRPr="004F3E51">
        <w:rPr>
          <w:rFonts w:ascii="Times New Roman" w:hAnsi="Times New Roman" w:cs="Times New Roman"/>
          <w:sz w:val="24"/>
          <w:szCs w:val="24"/>
        </w:rPr>
        <w:t>, Bernard Heinesch</w:t>
      </w:r>
      <w:r w:rsidRPr="004F3E5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8</w:t>
      </w:r>
      <w:r w:rsidRPr="004F3E51">
        <w:rPr>
          <w:rFonts w:ascii="Times New Roman" w:hAnsi="Times New Roman" w:cs="Times New Roman"/>
          <w:sz w:val="24"/>
          <w:szCs w:val="24"/>
        </w:rPr>
        <w:t>, Ivan Janssens</w:t>
      </w:r>
      <w:r w:rsidRPr="004F3E51">
        <w:rPr>
          <w:rFonts w:ascii="Times New Roman" w:hAnsi="Times New Roman" w:cs="Times New Roman"/>
          <w:sz w:val="24"/>
          <w:szCs w:val="24"/>
          <w:vertAlign w:val="superscript"/>
        </w:rPr>
        <w:t>2</w:t>
      </w:r>
      <w:r>
        <w:rPr>
          <w:rFonts w:ascii="Times New Roman" w:hAnsi="Times New Roman" w:cs="Times New Roman"/>
          <w:sz w:val="24"/>
          <w:szCs w:val="24"/>
          <w:vertAlign w:val="superscript"/>
        </w:rPr>
        <w:t>6</w:t>
      </w:r>
      <w:r w:rsidRPr="004F3E51">
        <w:rPr>
          <w:rFonts w:ascii="Times New Roman" w:hAnsi="Times New Roman" w:cs="Times New Roman"/>
          <w:sz w:val="24"/>
          <w:szCs w:val="24"/>
        </w:rPr>
        <w:t>, Natalia Kowalska</w:t>
      </w:r>
      <w:r w:rsidRPr="004F3E5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sidRPr="004F3E51">
        <w:rPr>
          <w:rFonts w:ascii="Times New Roman" w:hAnsi="Times New Roman" w:cs="Times New Roman"/>
          <w:sz w:val="24"/>
          <w:szCs w:val="24"/>
        </w:rPr>
        <w:t>, Jiří Dušek</w:t>
      </w:r>
      <w:r w:rsidRPr="004F3E51">
        <w:rPr>
          <w:rFonts w:ascii="Times New Roman" w:hAnsi="Times New Roman" w:cs="Times New Roman"/>
          <w:sz w:val="24"/>
          <w:szCs w:val="24"/>
          <w:vertAlign w:val="superscript"/>
        </w:rPr>
        <w:t>12</w:t>
      </w:r>
      <w:r w:rsidRPr="004F3E51">
        <w:rPr>
          <w:rFonts w:ascii="Times New Roman" w:hAnsi="Times New Roman" w:cs="Times New Roman"/>
          <w:sz w:val="24"/>
          <w:szCs w:val="24"/>
        </w:rPr>
        <w:t>, Giacomo Gerosa</w:t>
      </w:r>
      <w:r>
        <w:rPr>
          <w:rFonts w:ascii="Times New Roman" w:hAnsi="Times New Roman" w:cs="Times New Roman"/>
          <w:sz w:val="24"/>
          <w:szCs w:val="24"/>
          <w:vertAlign w:val="superscript"/>
        </w:rPr>
        <w:t>29</w:t>
      </w:r>
      <w:r w:rsidRPr="004F3E51">
        <w:rPr>
          <w:rFonts w:ascii="Times New Roman" w:hAnsi="Times New Roman" w:cs="Times New Roman"/>
          <w:sz w:val="24"/>
          <w:szCs w:val="24"/>
        </w:rPr>
        <w:t>, Meelis Mölder</w:t>
      </w:r>
      <w:r w:rsidRPr="004F3E51">
        <w:rPr>
          <w:rFonts w:ascii="Times New Roman" w:hAnsi="Times New Roman" w:cs="Times New Roman"/>
          <w:sz w:val="24"/>
          <w:szCs w:val="24"/>
          <w:vertAlign w:val="superscript"/>
        </w:rPr>
        <w:t>3</w:t>
      </w:r>
      <w:r>
        <w:rPr>
          <w:rFonts w:ascii="Times New Roman" w:hAnsi="Times New Roman" w:cs="Times New Roman"/>
          <w:sz w:val="24"/>
          <w:szCs w:val="24"/>
          <w:vertAlign w:val="superscript"/>
        </w:rPr>
        <w:t>0</w:t>
      </w:r>
      <w:r w:rsidRPr="004F3E51">
        <w:rPr>
          <w:rFonts w:ascii="Times New Roman" w:hAnsi="Times New Roman" w:cs="Times New Roman"/>
          <w:sz w:val="24"/>
          <w:szCs w:val="24"/>
        </w:rPr>
        <w:t>, Eeva-Stiina Tuittila</w:t>
      </w:r>
      <w:r w:rsidRPr="004F3E51">
        <w:rPr>
          <w:rFonts w:ascii="Times New Roman" w:hAnsi="Times New Roman" w:cs="Times New Roman"/>
          <w:sz w:val="24"/>
          <w:szCs w:val="24"/>
          <w:vertAlign w:val="superscript"/>
        </w:rPr>
        <w:t>3</w:t>
      </w:r>
      <w:r>
        <w:rPr>
          <w:rFonts w:ascii="Times New Roman" w:hAnsi="Times New Roman" w:cs="Times New Roman"/>
          <w:sz w:val="24"/>
          <w:szCs w:val="24"/>
          <w:vertAlign w:val="superscript"/>
        </w:rPr>
        <w:t>1</w:t>
      </w:r>
      <w:r w:rsidRPr="004F3E51">
        <w:rPr>
          <w:rFonts w:ascii="Times New Roman" w:hAnsi="Times New Roman" w:cs="Times New Roman"/>
          <w:sz w:val="24"/>
          <w:szCs w:val="24"/>
        </w:rPr>
        <w:t>, Denis Loustau</w:t>
      </w:r>
      <w:r w:rsidRPr="004F3E51">
        <w:rPr>
          <w:rFonts w:ascii="Times New Roman" w:hAnsi="Times New Roman" w:cs="Times New Roman"/>
          <w:sz w:val="24"/>
          <w:szCs w:val="24"/>
          <w:vertAlign w:val="superscript"/>
        </w:rPr>
        <w:t>1</w:t>
      </w:r>
    </w:p>
    <w:p w14:paraId="12B8789B" w14:textId="77777777" w:rsidR="00103AF5" w:rsidRPr="004F3E51" w:rsidRDefault="00103AF5" w:rsidP="00103AF5">
      <w:pPr>
        <w:snapToGrid w:val="0"/>
        <w:spacing w:after="0" w:line="240" w:lineRule="auto"/>
        <w:rPr>
          <w:rFonts w:ascii="Times New Roman" w:hAnsi="Times New Roman" w:cs="Times New Roman"/>
          <w:sz w:val="24"/>
          <w:szCs w:val="24"/>
          <w:lang w:val="en-MY"/>
        </w:rPr>
      </w:pPr>
    </w:p>
    <w:p w14:paraId="49F786FC" w14:textId="77777777" w:rsidR="00103AF5" w:rsidRPr="004F3E51" w:rsidRDefault="00103AF5" w:rsidP="00103AF5">
      <w:pPr>
        <w:snapToGrid w:val="0"/>
        <w:spacing w:after="0" w:line="240" w:lineRule="auto"/>
        <w:rPr>
          <w:rFonts w:ascii="Times New Roman" w:hAnsi="Times New Roman" w:cs="Times New Roman"/>
          <w:sz w:val="24"/>
          <w:szCs w:val="24"/>
          <w:lang w:val="fr-FR"/>
        </w:rPr>
      </w:pPr>
      <w:r w:rsidRPr="004F3E51">
        <w:rPr>
          <w:rFonts w:ascii="Times New Roman" w:hAnsi="Times New Roman" w:cs="Times New Roman"/>
          <w:sz w:val="24"/>
          <w:szCs w:val="24"/>
          <w:vertAlign w:val="superscript"/>
          <w:lang w:val="fr-FR"/>
        </w:rPr>
        <w:t>1</w:t>
      </w:r>
      <w:r w:rsidRPr="00997513">
        <w:rPr>
          <w:rFonts w:ascii="Times New Roman" w:hAnsi="Times New Roman" w:cs="Times New Roman"/>
          <w:sz w:val="24"/>
          <w:szCs w:val="24"/>
          <w:lang w:val="fr-FR"/>
        </w:rPr>
        <w:t>ISPA, Bordeaux Sciences Agro, INRAE, Villenave d’Ornon, France</w:t>
      </w:r>
    </w:p>
    <w:p w14:paraId="38023F9F" w14:textId="77777777" w:rsidR="00103AF5" w:rsidRPr="004F3E51" w:rsidRDefault="00103AF5" w:rsidP="00103AF5">
      <w:pPr>
        <w:snapToGrid w:val="0"/>
        <w:spacing w:after="0" w:line="240" w:lineRule="auto"/>
        <w:rPr>
          <w:rFonts w:ascii="Times New Roman" w:hAnsi="Times New Roman" w:cs="Times New Roman"/>
          <w:sz w:val="24"/>
          <w:szCs w:val="24"/>
        </w:rPr>
      </w:pP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UMR SAS, INRAE, Institut Agro, Rennes, France</w:t>
      </w:r>
    </w:p>
    <w:p w14:paraId="494F9AF1" w14:textId="77777777" w:rsidR="00103AF5" w:rsidRPr="004F3E51" w:rsidRDefault="00103AF5" w:rsidP="00103AF5">
      <w:pPr>
        <w:snapToGrid w:val="0"/>
        <w:spacing w:after="0" w:line="240" w:lineRule="auto"/>
        <w:rPr>
          <w:rFonts w:ascii="Times New Roman" w:hAnsi="Times New Roman" w:cs="Times New Roman"/>
          <w:sz w:val="24"/>
          <w:szCs w:val="24"/>
        </w:rPr>
      </w:pPr>
      <w:r w:rsidRPr="004F3E51">
        <w:rPr>
          <w:rFonts w:ascii="Times New Roman" w:hAnsi="Times New Roman" w:cs="Times New Roman"/>
          <w:sz w:val="24"/>
          <w:szCs w:val="24"/>
          <w:vertAlign w:val="superscript"/>
        </w:rPr>
        <w:t>3</w:t>
      </w:r>
      <w:r w:rsidRPr="004F3E51">
        <w:rPr>
          <w:rFonts w:ascii="Times New Roman" w:hAnsi="Times New Roman" w:cs="Times New Roman"/>
          <w:sz w:val="24"/>
          <w:szCs w:val="24"/>
        </w:rPr>
        <w:t>Joint Research Centre, European Commission, Ispra, Italy</w:t>
      </w:r>
    </w:p>
    <w:p w14:paraId="0DF7E3C6" w14:textId="77777777" w:rsidR="00103AF5" w:rsidRPr="004F3E51" w:rsidRDefault="00103AF5" w:rsidP="00103AF5">
      <w:pPr>
        <w:snapToGrid w:val="0"/>
        <w:spacing w:after="0" w:line="240" w:lineRule="auto"/>
        <w:rPr>
          <w:rFonts w:ascii="Times New Roman" w:hAnsi="Times New Roman" w:cs="Times New Roman"/>
          <w:sz w:val="24"/>
          <w:szCs w:val="24"/>
        </w:rPr>
      </w:pPr>
      <w:r w:rsidRPr="004F3E51">
        <w:rPr>
          <w:rFonts w:ascii="Times New Roman" w:hAnsi="Times New Roman" w:cs="Times New Roman"/>
          <w:sz w:val="24"/>
          <w:szCs w:val="24"/>
          <w:vertAlign w:val="superscript"/>
        </w:rPr>
        <w:t>4</w:t>
      </w:r>
      <w:r w:rsidRPr="004F3E51">
        <w:rPr>
          <w:rFonts w:ascii="Times New Roman" w:hAnsi="Times New Roman" w:cs="Times New Roman"/>
          <w:sz w:val="24"/>
          <w:szCs w:val="24"/>
        </w:rPr>
        <w:t>University of Tuscia DIBAF, Viterbo, Italy</w:t>
      </w:r>
    </w:p>
    <w:p w14:paraId="79E9DCB2" w14:textId="77777777" w:rsidR="00103AF5" w:rsidRPr="004F3E51" w:rsidRDefault="00103AF5" w:rsidP="00103AF5">
      <w:pPr>
        <w:snapToGrid w:val="0"/>
        <w:spacing w:after="0" w:line="240" w:lineRule="auto"/>
        <w:rPr>
          <w:rFonts w:ascii="Times New Roman" w:hAnsi="Times New Roman" w:cs="Times New Roman"/>
          <w:sz w:val="24"/>
          <w:szCs w:val="24"/>
        </w:rPr>
      </w:pPr>
      <w:r w:rsidRPr="004F3E51">
        <w:rPr>
          <w:rFonts w:ascii="Times New Roman" w:hAnsi="Times New Roman" w:cs="Times New Roman"/>
          <w:sz w:val="24"/>
          <w:szCs w:val="24"/>
          <w:vertAlign w:val="superscript"/>
        </w:rPr>
        <w:t>5</w:t>
      </w:r>
      <w:r w:rsidRPr="004F3E51">
        <w:rPr>
          <w:rFonts w:ascii="Times New Roman" w:hAnsi="Times New Roman" w:cs="Times New Roman"/>
          <w:sz w:val="24"/>
          <w:szCs w:val="24"/>
        </w:rPr>
        <w:t>EuroMediterranean Center on Climate Change. CMCC IAFES, Viterbo, Italy</w:t>
      </w:r>
    </w:p>
    <w:p w14:paraId="1BC49A98" w14:textId="77777777" w:rsidR="00103AF5" w:rsidRPr="004F3E51" w:rsidRDefault="00103AF5" w:rsidP="00103AF5">
      <w:pPr>
        <w:snapToGrid w:val="0"/>
        <w:spacing w:after="0" w:line="240" w:lineRule="auto"/>
        <w:rPr>
          <w:rFonts w:ascii="Times New Roman" w:hAnsi="Times New Roman" w:cs="Times New Roman"/>
          <w:sz w:val="24"/>
          <w:szCs w:val="24"/>
        </w:rPr>
      </w:pPr>
      <w:r w:rsidRPr="004F3E51">
        <w:rPr>
          <w:rFonts w:ascii="Times New Roman" w:hAnsi="Times New Roman" w:cs="Times New Roman"/>
          <w:sz w:val="24"/>
          <w:szCs w:val="24"/>
          <w:vertAlign w:val="superscript"/>
        </w:rPr>
        <w:t>6</w:t>
      </w:r>
      <w:r w:rsidRPr="004F3E51">
        <w:rPr>
          <w:rFonts w:ascii="Times New Roman" w:hAnsi="Times New Roman" w:cs="Times New Roman"/>
          <w:sz w:val="24"/>
          <w:szCs w:val="24"/>
        </w:rPr>
        <w:t>Department of Biological Systems Engineering, University of Wisconsin-Madison, Madison, WI, USA</w:t>
      </w:r>
    </w:p>
    <w:p w14:paraId="606B6B7E" w14:textId="77777777" w:rsidR="00103AF5" w:rsidRPr="004F3E51" w:rsidRDefault="00103AF5" w:rsidP="00103AF5">
      <w:pPr>
        <w:snapToGrid w:val="0"/>
        <w:spacing w:after="0" w:line="240" w:lineRule="auto"/>
        <w:rPr>
          <w:rFonts w:ascii="Times New Roman" w:hAnsi="Times New Roman" w:cs="Times New Roman"/>
          <w:sz w:val="24"/>
          <w:szCs w:val="24"/>
        </w:rPr>
      </w:pPr>
      <w:r w:rsidRPr="004F3E51">
        <w:rPr>
          <w:rFonts w:ascii="Times New Roman" w:hAnsi="Times New Roman" w:cs="Times New Roman"/>
          <w:sz w:val="24"/>
          <w:szCs w:val="24"/>
          <w:vertAlign w:val="superscript"/>
        </w:rPr>
        <w:t>7</w:t>
      </w:r>
      <w:r w:rsidRPr="004F3E51">
        <w:rPr>
          <w:rFonts w:ascii="Times New Roman" w:hAnsi="Times New Roman" w:cs="Times New Roman"/>
          <w:sz w:val="24"/>
          <w:szCs w:val="24"/>
        </w:rPr>
        <w:t>Department of Environmental Systems Science, ETH Zurich, Zurich, Switzerland</w:t>
      </w:r>
    </w:p>
    <w:p w14:paraId="1407BC68" w14:textId="77777777" w:rsidR="00103AF5" w:rsidRPr="004F3E51" w:rsidRDefault="00103AF5" w:rsidP="00103AF5">
      <w:pPr>
        <w:snapToGrid w:val="0"/>
        <w:spacing w:after="0" w:line="240" w:lineRule="auto"/>
        <w:rPr>
          <w:rFonts w:ascii="Times New Roman" w:hAnsi="Times New Roman" w:cs="Times New Roman"/>
          <w:sz w:val="24"/>
          <w:szCs w:val="24"/>
          <w:lang w:val="fr-FR"/>
        </w:rPr>
      </w:pPr>
      <w:r w:rsidRPr="004F3E51">
        <w:rPr>
          <w:rFonts w:ascii="Times New Roman" w:hAnsi="Times New Roman" w:cs="Times New Roman"/>
          <w:sz w:val="24"/>
          <w:szCs w:val="24"/>
          <w:vertAlign w:val="superscript"/>
          <w:lang w:val="fr-FR"/>
        </w:rPr>
        <w:t>8</w:t>
      </w:r>
      <w:r w:rsidRPr="004F3E51">
        <w:rPr>
          <w:rFonts w:ascii="Times New Roman" w:hAnsi="Times New Roman" w:cs="Times New Roman"/>
          <w:sz w:val="24"/>
          <w:szCs w:val="24"/>
          <w:lang w:val="fr-FR"/>
        </w:rPr>
        <w:t>Université de Lorraine, AgroParisTech, INRAE, UMR Silva, Nancy, France</w:t>
      </w:r>
    </w:p>
    <w:p w14:paraId="07D3B063"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hAnsi="Times New Roman" w:cs="Times New Roman"/>
          <w:sz w:val="24"/>
          <w:szCs w:val="24"/>
          <w:vertAlign w:val="superscript"/>
        </w:rPr>
        <w:t>9</w:t>
      </w:r>
      <w:r w:rsidRPr="004F3E51">
        <w:rPr>
          <w:rFonts w:ascii="Times New Roman" w:eastAsia="Times New Roman" w:hAnsi="Times New Roman" w:cs="Times New Roman"/>
          <w:color w:val="000000"/>
          <w:sz w:val="24"/>
          <w:szCs w:val="24"/>
        </w:rPr>
        <w:t>Royal Netherlands Meteorological Institute (KNMI), De Bilt, the Netherland</w:t>
      </w:r>
    </w:p>
    <w:p w14:paraId="5F2267D5" w14:textId="77777777" w:rsidR="00103AF5" w:rsidRPr="004F3E51" w:rsidRDefault="00103AF5" w:rsidP="00103AF5">
      <w:pPr>
        <w:snapToGrid w:val="0"/>
        <w:spacing w:after="0" w:line="240" w:lineRule="auto"/>
        <w:rPr>
          <w:rFonts w:ascii="Times New Roman" w:hAnsi="Times New Roman" w:cs="Times New Roman"/>
          <w:sz w:val="24"/>
          <w:szCs w:val="24"/>
        </w:rPr>
      </w:pPr>
      <w:r w:rsidRPr="004F3E51">
        <w:rPr>
          <w:rFonts w:ascii="Times New Roman" w:hAnsi="Times New Roman" w:cs="Times New Roman"/>
          <w:sz w:val="24"/>
          <w:szCs w:val="24"/>
          <w:vertAlign w:val="superscript"/>
        </w:rPr>
        <w:t>10</w:t>
      </w:r>
      <w:r w:rsidRPr="004F3E51">
        <w:rPr>
          <w:rFonts w:ascii="Times New Roman" w:hAnsi="Times New Roman" w:cs="Times New Roman"/>
          <w:sz w:val="24"/>
          <w:szCs w:val="24"/>
        </w:rPr>
        <w:t>CNR-National Research Council, Rome, Italy</w:t>
      </w:r>
    </w:p>
    <w:p w14:paraId="45F6341D"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11</w:t>
      </w:r>
      <w:r w:rsidRPr="004F3E51">
        <w:rPr>
          <w:rFonts w:ascii="Times New Roman" w:eastAsia="Times New Roman" w:hAnsi="Times New Roman" w:cs="Times New Roman"/>
          <w:color w:val="000000"/>
          <w:sz w:val="24"/>
          <w:szCs w:val="24"/>
        </w:rPr>
        <w:t>Bioclimatology, University of Göttingen, Göttingen, Germany</w:t>
      </w:r>
    </w:p>
    <w:p w14:paraId="113A1F4B"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12</w:t>
      </w:r>
      <w:r w:rsidRPr="004F3E51">
        <w:rPr>
          <w:rFonts w:ascii="Times New Roman" w:eastAsia="Times New Roman" w:hAnsi="Times New Roman" w:cs="Times New Roman"/>
          <w:color w:val="000000"/>
          <w:sz w:val="24"/>
          <w:szCs w:val="24"/>
        </w:rPr>
        <w:t>Department of Matter and Energy Fluxes, Global Change Research Institute of the Czech Academy of Sciences, Brno, Czech Republic</w:t>
      </w:r>
    </w:p>
    <w:p w14:paraId="7DCF4327" w14:textId="77777777" w:rsidR="00103AF5" w:rsidRPr="004F3E51" w:rsidRDefault="00103AF5" w:rsidP="00103AF5">
      <w:pPr>
        <w:snapToGrid w:val="0"/>
        <w:spacing w:after="0" w:line="240" w:lineRule="auto"/>
        <w:rPr>
          <w:rFonts w:ascii="Times New Roman" w:hAnsi="Times New Roman" w:cs="Times New Roman"/>
          <w:sz w:val="24"/>
          <w:szCs w:val="24"/>
        </w:rPr>
      </w:pPr>
      <w:r w:rsidRPr="004F3E51">
        <w:rPr>
          <w:rFonts w:ascii="Times New Roman" w:hAnsi="Times New Roman" w:cs="Times New Roman"/>
          <w:sz w:val="24"/>
          <w:szCs w:val="24"/>
          <w:vertAlign w:val="superscript"/>
        </w:rPr>
        <w:t>13</w:t>
      </w:r>
      <w:r w:rsidRPr="004F3E51">
        <w:rPr>
          <w:rFonts w:ascii="Times New Roman" w:hAnsi="Times New Roman" w:cs="Times New Roman"/>
          <w:sz w:val="24"/>
          <w:szCs w:val="24"/>
        </w:rPr>
        <w:t>URFM, INRAE, Avignon, France</w:t>
      </w:r>
    </w:p>
    <w:p w14:paraId="1350373E" w14:textId="77777777" w:rsidR="00103AF5" w:rsidRPr="004F3E51" w:rsidRDefault="00103AF5" w:rsidP="00103AF5">
      <w:pPr>
        <w:snapToGrid w:val="0"/>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14</w:t>
      </w:r>
      <w:r w:rsidRPr="004F3E51">
        <w:rPr>
          <w:rFonts w:ascii="Times New Roman" w:eastAsia="Times New Roman" w:hAnsi="Times New Roman" w:cs="Times New Roman"/>
          <w:color w:val="000000"/>
          <w:sz w:val="24"/>
          <w:szCs w:val="24"/>
        </w:rPr>
        <w:t>Climate Air and Sustainability Unit, Netherlands Organisation for Applied Scientific Research (TNO), Utrecht, the Netherlands</w:t>
      </w:r>
    </w:p>
    <w:p w14:paraId="0763F39C" w14:textId="77777777" w:rsidR="00103AF5" w:rsidRPr="004F3E51" w:rsidRDefault="00103AF5" w:rsidP="00103AF5">
      <w:pPr>
        <w:snapToGrid w:val="0"/>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15</w:t>
      </w:r>
      <w:r w:rsidRPr="004F3E51">
        <w:rPr>
          <w:rFonts w:ascii="Times New Roman" w:eastAsia="Times New Roman" w:hAnsi="Times New Roman" w:cs="Times New Roman"/>
          <w:color w:val="000000"/>
          <w:sz w:val="24"/>
          <w:szCs w:val="24"/>
        </w:rPr>
        <w:t>Faculty of Environmental Sciences, Institute of Hydrology and Meteorology, Technische Universität Dresden, Tharandt, Germany</w:t>
      </w:r>
    </w:p>
    <w:p w14:paraId="20854FFC"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16</w:t>
      </w:r>
      <w:r w:rsidRPr="004F3E51">
        <w:rPr>
          <w:rFonts w:ascii="Times New Roman" w:eastAsia="Times New Roman" w:hAnsi="Times New Roman" w:cs="Times New Roman"/>
          <w:color w:val="000000"/>
          <w:sz w:val="24"/>
          <w:szCs w:val="24"/>
        </w:rPr>
        <w:t>Technical University of Denmark (DTU), DTU-Sustain, Kgs. Lyngby, Denmark</w:t>
      </w:r>
    </w:p>
    <w:p w14:paraId="355A45BF" w14:textId="77777777" w:rsidR="00103AF5"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vertAlign w:val="superscript"/>
        </w:rPr>
        <w:t>7</w:t>
      </w:r>
      <w:r w:rsidRPr="00637100">
        <w:rPr>
          <w:rFonts w:ascii="Times New Roman" w:eastAsia="Times New Roman" w:hAnsi="Times New Roman" w:cs="Times New Roman"/>
          <w:color w:val="000000"/>
          <w:sz w:val="24"/>
          <w:szCs w:val="24"/>
        </w:rPr>
        <w:t>UMR ECOSYS, AgroParisTech, INRAE, Université Paris-Saclay, Thiverval-Grignon, France</w:t>
      </w:r>
    </w:p>
    <w:p w14:paraId="63328A00"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vertAlign w:val="superscript"/>
        </w:rPr>
        <w:t>8</w:t>
      </w:r>
      <w:r w:rsidRPr="004F3E51">
        <w:rPr>
          <w:rFonts w:ascii="Times New Roman" w:eastAsia="Times New Roman" w:hAnsi="Times New Roman" w:cs="Times New Roman"/>
          <w:color w:val="000000"/>
          <w:sz w:val="24"/>
          <w:szCs w:val="24"/>
        </w:rPr>
        <w:t>Institute for Atmospheric and Earth System Research/Physics, University of Helsinki, Helsinki, Finland</w:t>
      </w:r>
    </w:p>
    <w:p w14:paraId="24E50522" w14:textId="77777777" w:rsidR="00103AF5" w:rsidRPr="004F3E51" w:rsidRDefault="00103AF5" w:rsidP="00103AF5">
      <w:pPr>
        <w:snapToGrid w:val="0"/>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vertAlign w:val="superscript"/>
        </w:rPr>
        <w:t>9</w:t>
      </w:r>
      <w:r w:rsidRPr="004F3E51">
        <w:rPr>
          <w:rFonts w:ascii="Times New Roman" w:eastAsia="Times New Roman" w:hAnsi="Times New Roman" w:cs="Times New Roman"/>
          <w:color w:val="000000"/>
          <w:sz w:val="24"/>
          <w:szCs w:val="24"/>
        </w:rPr>
        <w:t>Research and Innovation Centre, Fondazione Edmund Mach, San Michele all’Adige, Italy</w:t>
      </w:r>
    </w:p>
    <w:p w14:paraId="0102A8BF"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20</w:t>
      </w:r>
      <w:r w:rsidRPr="004F3E51">
        <w:rPr>
          <w:rFonts w:ascii="Times New Roman" w:eastAsia="Times New Roman" w:hAnsi="Times New Roman" w:cs="Times New Roman"/>
          <w:color w:val="000000"/>
          <w:sz w:val="24"/>
          <w:szCs w:val="24"/>
        </w:rPr>
        <w:t>Department of Forest Ecology and Management, Swedish University of Agricultural Sciences, Umeå, Sweden</w:t>
      </w:r>
    </w:p>
    <w:p w14:paraId="5E104E20" w14:textId="77777777" w:rsidR="00103AF5" w:rsidRPr="004F3E51" w:rsidRDefault="00103AF5" w:rsidP="00103AF5">
      <w:pPr>
        <w:snapToGrid w:val="0"/>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1</w:t>
      </w:r>
      <w:r w:rsidRPr="004F3E51">
        <w:rPr>
          <w:rFonts w:ascii="Times New Roman" w:eastAsia="Times New Roman" w:hAnsi="Times New Roman" w:cs="Times New Roman"/>
          <w:color w:val="000000"/>
          <w:sz w:val="24"/>
          <w:szCs w:val="24"/>
        </w:rPr>
        <w:t>Institute of Bio- and Geosciences: Agrosphere (IBG-3), Jülich Research Centre, Jülich, Germany</w:t>
      </w:r>
    </w:p>
    <w:p w14:paraId="3291F7F2" w14:textId="77777777" w:rsidR="00103AF5" w:rsidRPr="004F3E51" w:rsidRDefault="00103AF5" w:rsidP="00103AF5">
      <w:pPr>
        <w:snapToGrid w:val="0"/>
        <w:spacing w:after="0" w:line="240" w:lineRule="auto"/>
        <w:rPr>
          <w:rFonts w:ascii="Times New Roman" w:eastAsia="Times New Roman" w:hAnsi="Times New Roman" w:cs="Times New Roman"/>
          <w:color w:val="000000"/>
          <w:sz w:val="24"/>
          <w:szCs w:val="24"/>
          <w:lang w:val="fr-FR"/>
        </w:rPr>
      </w:pPr>
      <w:r w:rsidRPr="004F3E51">
        <w:rPr>
          <w:rFonts w:ascii="Times New Roman" w:eastAsia="Times New Roman" w:hAnsi="Times New Roman" w:cs="Times New Roman"/>
          <w:color w:val="000000"/>
          <w:sz w:val="24"/>
          <w:szCs w:val="24"/>
          <w:vertAlign w:val="superscript"/>
          <w:lang w:val="fr-FR"/>
        </w:rPr>
        <w:t>2</w:t>
      </w:r>
      <w:r>
        <w:rPr>
          <w:rFonts w:ascii="Times New Roman" w:eastAsia="Times New Roman" w:hAnsi="Times New Roman" w:cs="Times New Roman"/>
          <w:color w:val="000000"/>
          <w:sz w:val="24"/>
          <w:szCs w:val="24"/>
          <w:vertAlign w:val="superscript"/>
          <w:lang w:val="fr-FR"/>
        </w:rPr>
        <w:t>2</w:t>
      </w:r>
      <w:r w:rsidRPr="004F3E51">
        <w:rPr>
          <w:rFonts w:ascii="Times New Roman" w:eastAsia="Times New Roman" w:hAnsi="Times New Roman" w:cs="Times New Roman"/>
          <w:color w:val="000000"/>
          <w:sz w:val="24"/>
          <w:szCs w:val="24"/>
          <w:lang w:val="fr-FR"/>
        </w:rPr>
        <w:t>Université Paris-Saclay, CNRS, AgroParisTech, Ecologie Systématique et Evolution, Orsay, France</w:t>
      </w:r>
    </w:p>
    <w:p w14:paraId="24E1C772"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3</w:t>
      </w:r>
      <w:r w:rsidRPr="004F3E51">
        <w:rPr>
          <w:rFonts w:ascii="Times New Roman" w:eastAsia="Times New Roman" w:hAnsi="Times New Roman" w:cs="Times New Roman"/>
          <w:color w:val="000000"/>
          <w:sz w:val="24"/>
          <w:szCs w:val="24"/>
        </w:rPr>
        <w:t>Environmental Protection Agency of Aosta Valley - Climate Change Unit, Saint-Christophe, Italy</w:t>
      </w:r>
    </w:p>
    <w:p w14:paraId="04AD33AA" w14:textId="77777777" w:rsidR="00103AF5" w:rsidRPr="004F3E51" w:rsidRDefault="00103AF5" w:rsidP="00103AF5">
      <w:pPr>
        <w:snapToGrid w:val="0"/>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4</w:t>
      </w:r>
      <w:r w:rsidRPr="004F3E51">
        <w:rPr>
          <w:rFonts w:ascii="Times New Roman" w:eastAsia="Times New Roman" w:hAnsi="Times New Roman" w:cs="Times New Roman"/>
          <w:color w:val="000000"/>
          <w:sz w:val="24"/>
          <w:szCs w:val="24"/>
        </w:rPr>
        <w:t xml:space="preserve">Max Planck Institute for Biogeochemistry, Department of Biogeochemical Integration, Jena, Germany </w:t>
      </w:r>
    </w:p>
    <w:p w14:paraId="03A3ACAB" w14:textId="77777777" w:rsidR="00103AF5" w:rsidRPr="004F3E51" w:rsidRDefault="00103AF5" w:rsidP="00103AF5">
      <w:pPr>
        <w:snapToGrid w:val="0"/>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lastRenderedPageBreak/>
        <w:t>2</w:t>
      </w:r>
      <w:r>
        <w:rPr>
          <w:rFonts w:ascii="Times New Roman" w:eastAsia="Times New Roman" w:hAnsi="Times New Roman" w:cs="Times New Roman"/>
          <w:color w:val="000000"/>
          <w:sz w:val="24"/>
          <w:szCs w:val="24"/>
          <w:vertAlign w:val="superscript"/>
        </w:rPr>
        <w:t>5</w:t>
      </w:r>
      <w:r w:rsidRPr="004F3E51">
        <w:rPr>
          <w:rFonts w:ascii="Times New Roman" w:eastAsia="Times New Roman" w:hAnsi="Times New Roman" w:cs="Times New Roman"/>
          <w:color w:val="000000"/>
          <w:sz w:val="24"/>
          <w:szCs w:val="24"/>
        </w:rPr>
        <w:t>Faculty of Geosciences, University of Münster, Münster, Germany</w:t>
      </w:r>
    </w:p>
    <w:p w14:paraId="3923E088" w14:textId="77777777" w:rsidR="00103AF5" w:rsidRPr="004F3E51" w:rsidRDefault="00103AF5" w:rsidP="00103AF5">
      <w:pPr>
        <w:snapToGrid w:val="0"/>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6</w:t>
      </w:r>
      <w:r w:rsidRPr="004F3E51">
        <w:rPr>
          <w:rFonts w:ascii="Times New Roman" w:eastAsia="Times New Roman" w:hAnsi="Times New Roman" w:cs="Times New Roman"/>
          <w:color w:val="000000"/>
          <w:sz w:val="24"/>
          <w:szCs w:val="24"/>
        </w:rPr>
        <w:t>Department of Biology, University of Antwerp, Wilrijk, Belgium</w:t>
      </w:r>
    </w:p>
    <w:p w14:paraId="30699507" w14:textId="77777777" w:rsidR="00103AF5" w:rsidRPr="004F3E51" w:rsidRDefault="00103AF5" w:rsidP="00103AF5">
      <w:pPr>
        <w:snapToGrid w:val="0"/>
        <w:spacing w:after="0" w:line="240" w:lineRule="auto"/>
        <w:rPr>
          <w:rFonts w:ascii="Times New Roman" w:eastAsia="Times New Roman" w:hAnsi="Times New Roman" w:cs="Times New Roman"/>
          <w:color w:val="000000"/>
          <w:sz w:val="24"/>
          <w:szCs w:val="24"/>
          <w:lang w:val="fr-FR"/>
        </w:rPr>
      </w:pPr>
      <w:r w:rsidRPr="004F3E5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7</w:t>
      </w:r>
      <w:r w:rsidRPr="004F3E51">
        <w:rPr>
          <w:rFonts w:ascii="Times New Roman" w:eastAsia="Times New Roman" w:hAnsi="Times New Roman" w:cs="Times New Roman"/>
          <w:color w:val="000000"/>
          <w:sz w:val="24"/>
          <w:szCs w:val="24"/>
        </w:rPr>
        <w:t>A.N. Severtsov Institute of Ecology and Evolution, Russian Academy of Sciences, Moscow, Russia</w:t>
      </w:r>
    </w:p>
    <w:p w14:paraId="5D86FC4B"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vertAlign w:val="superscript"/>
        </w:rPr>
        <w:t>8</w:t>
      </w:r>
      <w:r w:rsidRPr="004F3E51">
        <w:rPr>
          <w:rFonts w:ascii="Times New Roman" w:eastAsia="Times New Roman" w:hAnsi="Times New Roman" w:cs="Times New Roman"/>
          <w:color w:val="000000"/>
          <w:sz w:val="24"/>
          <w:szCs w:val="24"/>
        </w:rPr>
        <w:t>TERRA Teaching and Research Centre, University of Liege, Gembloux, Belgium</w:t>
      </w:r>
    </w:p>
    <w:p w14:paraId="1E899F6A"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29</w:t>
      </w:r>
      <w:r w:rsidRPr="004F3E51">
        <w:rPr>
          <w:rFonts w:ascii="Times New Roman" w:eastAsia="Times New Roman" w:hAnsi="Times New Roman" w:cs="Times New Roman"/>
          <w:color w:val="000000"/>
          <w:sz w:val="24"/>
          <w:szCs w:val="24"/>
        </w:rPr>
        <w:t>Università Cattolica del Sacro Cuore, Brescia, Italy</w:t>
      </w:r>
    </w:p>
    <w:p w14:paraId="20B57B01"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vertAlign w:val="superscript"/>
        </w:rPr>
        <w:t>0</w:t>
      </w:r>
      <w:r w:rsidRPr="004F3E51">
        <w:rPr>
          <w:rFonts w:ascii="Times New Roman" w:eastAsia="Times New Roman" w:hAnsi="Times New Roman" w:cs="Times New Roman"/>
          <w:color w:val="000000"/>
          <w:sz w:val="24"/>
          <w:szCs w:val="24"/>
        </w:rPr>
        <w:t>Department of Physical Geography and Ecosystem Science, Lund University, Lund, Sweden</w:t>
      </w:r>
    </w:p>
    <w:p w14:paraId="6D3C9281" w14:textId="77777777" w:rsidR="00103AF5" w:rsidRPr="004F3E51" w:rsidRDefault="00103AF5" w:rsidP="00103AF5">
      <w:pPr>
        <w:spacing w:after="0" w:line="240" w:lineRule="auto"/>
        <w:rPr>
          <w:rFonts w:ascii="Times New Roman" w:eastAsia="Times New Roman" w:hAnsi="Times New Roman" w:cs="Times New Roman"/>
          <w:color w:val="000000"/>
          <w:sz w:val="24"/>
          <w:szCs w:val="24"/>
        </w:rPr>
      </w:pPr>
      <w:r w:rsidRPr="004F3E51">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vertAlign w:val="superscript"/>
        </w:rPr>
        <w:t>1</w:t>
      </w:r>
      <w:r w:rsidRPr="004F3E51">
        <w:rPr>
          <w:rFonts w:ascii="Times New Roman" w:eastAsia="Times New Roman" w:hAnsi="Times New Roman" w:cs="Times New Roman"/>
          <w:color w:val="000000"/>
          <w:sz w:val="24"/>
          <w:szCs w:val="24"/>
        </w:rPr>
        <w:t>School of Forest Sciences, University of Eastern Finland, Joensuu, Finland</w:t>
      </w:r>
    </w:p>
    <w:p w14:paraId="47CD4118" w14:textId="77777777" w:rsidR="00103AF5" w:rsidRPr="009075B7" w:rsidRDefault="00103AF5" w:rsidP="00103AF5">
      <w:pPr>
        <w:snapToGrid w:val="0"/>
        <w:spacing w:after="0" w:line="240" w:lineRule="auto"/>
        <w:rPr>
          <w:rFonts w:ascii="Times New Roman" w:hAnsi="Times New Roman" w:cs="Times New Roman"/>
          <w:sz w:val="24"/>
          <w:szCs w:val="24"/>
        </w:rPr>
      </w:pPr>
    </w:p>
    <w:p w14:paraId="284714A8" w14:textId="77777777" w:rsidR="00103AF5" w:rsidRDefault="00103AF5" w:rsidP="00103AF5">
      <w:pPr>
        <w:snapToGrid w:val="0"/>
        <w:spacing w:after="0" w:line="240" w:lineRule="auto"/>
        <w:rPr>
          <w:rFonts w:ascii="Times New Roman" w:hAnsi="Times New Roman" w:cs="Times New Roman"/>
          <w:sz w:val="24"/>
          <w:szCs w:val="24"/>
          <w:lang w:val="en-US"/>
        </w:rPr>
      </w:pPr>
      <w:r w:rsidRPr="009075B7">
        <w:rPr>
          <w:rFonts w:ascii="Times New Roman" w:hAnsi="Times New Roman" w:cs="Times New Roman"/>
          <w:sz w:val="24"/>
          <w:szCs w:val="24"/>
        </w:rPr>
        <w:t>*Email: tang.angelaci</w:t>
      </w:r>
      <w:r w:rsidRPr="004F3E51">
        <w:rPr>
          <w:rFonts w:ascii="Times New Roman" w:hAnsi="Times New Roman" w:cs="Times New Roman"/>
          <w:sz w:val="24"/>
          <w:szCs w:val="24"/>
          <w:lang w:val="en-US"/>
        </w:rPr>
        <w:t>@gmail.com</w:t>
      </w:r>
    </w:p>
    <w:p w14:paraId="49F029D4" w14:textId="77777777" w:rsidR="00103AF5" w:rsidRPr="00B805C0" w:rsidRDefault="00103AF5" w:rsidP="00103AF5">
      <w:pPr>
        <w:snapToGrid w:val="0"/>
        <w:spacing w:after="0" w:line="240" w:lineRule="auto"/>
        <w:rPr>
          <w:rFonts w:ascii="Times New Roman" w:hAnsi="Times New Roman" w:cs="Times New Roman"/>
          <w:sz w:val="24"/>
          <w:szCs w:val="24"/>
          <w:lang w:val="en-US"/>
        </w:rPr>
      </w:pPr>
    </w:p>
    <w:p w14:paraId="1D8177B8" w14:textId="77777777" w:rsidR="00103AF5" w:rsidRPr="004F3E51" w:rsidRDefault="00103AF5" w:rsidP="00103AF5">
      <w:pPr>
        <w:snapToGrid w:val="0"/>
        <w:spacing w:after="0" w:line="480" w:lineRule="auto"/>
        <w:rPr>
          <w:rFonts w:ascii="Times New Roman" w:hAnsi="Times New Roman" w:cs="Times New Roman"/>
          <w:sz w:val="24"/>
          <w:szCs w:val="24"/>
        </w:rPr>
      </w:pPr>
      <w:r w:rsidRPr="004F3E51">
        <w:rPr>
          <w:rFonts w:ascii="Times New Roman" w:hAnsi="Times New Roman" w:cs="Times New Roman"/>
          <w:b/>
          <w:sz w:val="24"/>
          <w:szCs w:val="24"/>
        </w:rPr>
        <w:t>Abstract</w:t>
      </w:r>
    </w:p>
    <w:p w14:paraId="0ADA8F2F" w14:textId="77777777" w:rsidR="00103AF5" w:rsidRDefault="00103AF5" w:rsidP="00103AF5">
      <w:pPr>
        <w:snapToGrid w:val="0"/>
        <w:spacing w:after="0" w:line="480" w:lineRule="auto"/>
        <w:rPr>
          <w:rFonts w:ascii="Times New Roman" w:hAnsi="Times New Roman" w:cs="Times New Roman"/>
          <w:color w:val="222222"/>
          <w:sz w:val="24"/>
          <w:szCs w:val="24"/>
          <w:shd w:val="clear" w:color="auto" w:fill="FFFFFF"/>
        </w:rPr>
      </w:pPr>
      <w:r w:rsidRPr="004F3E51">
        <w:rPr>
          <w:rFonts w:ascii="Times New Roman" w:hAnsi="Times New Roman" w:cs="Times New Roman"/>
          <w:color w:val="222222"/>
          <w:sz w:val="24"/>
          <w:szCs w:val="24"/>
          <w:shd w:val="clear" w:color="auto" w:fill="FFFFFF"/>
        </w:rPr>
        <w:t>Global lockdown induced by the COVID-19 pandemic during spring 2020 brought unprecedented improvements in air quality</w:t>
      </w:r>
      <w:r>
        <w:rPr>
          <w:rFonts w:ascii="Times New Roman" w:hAnsi="Times New Roman" w:cs="Times New Roman"/>
          <w:color w:val="222222"/>
          <w:sz w:val="24"/>
          <w:szCs w:val="24"/>
          <w:shd w:val="clear" w:color="auto" w:fill="FFFFFF"/>
        </w:rPr>
        <w:t xml:space="preserve"> and atmospheric transparency</w:t>
      </w:r>
      <w:r w:rsidRPr="004F3E51">
        <w:rPr>
          <w:rFonts w:ascii="Times New Roman" w:hAnsi="Times New Roman" w:cs="Times New Roman"/>
          <w:color w:val="222222"/>
          <w:sz w:val="24"/>
          <w:szCs w:val="24"/>
          <w:shd w:val="clear" w:color="auto" w:fill="FFFFFF"/>
        </w:rPr>
        <w:t xml:space="preserve">, thereby offering a unique opportunity to </w:t>
      </w:r>
      <w:r>
        <w:rPr>
          <w:rFonts w:ascii="Times New Roman" w:hAnsi="Times New Roman" w:cs="Times New Roman"/>
          <w:color w:val="222222"/>
          <w:sz w:val="24"/>
          <w:szCs w:val="24"/>
          <w:shd w:val="clear" w:color="auto" w:fill="FFFFFF"/>
        </w:rPr>
        <w:t>investigate</w:t>
      </w:r>
      <w:r w:rsidRPr="004F3E51">
        <w:rPr>
          <w:rFonts w:ascii="Times New Roman" w:hAnsi="Times New Roman" w:cs="Times New Roman"/>
          <w:color w:val="222222"/>
          <w:sz w:val="24"/>
          <w:szCs w:val="24"/>
          <w:shd w:val="clear" w:color="auto" w:fill="FFFFFF"/>
        </w:rPr>
        <w:t xml:space="preserve"> the impact of</w:t>
      </w:r>
      <w:r>
        <w:rPr>
          <w:rFonts w:ascii="Times New Roman" w:hAnsi="Times New Roman" w:cs="Times New Roman"/>
          <w:color w:val="222222"/>
          <w:sz w:val="24"/>
          <w:szCs w:val="24"/>
          <w:shd w:val="clear" w:color="auto" w:fill="FFFFFF"/>
        </w:rPr>
        <w:t xml:space="preserve"> air</w:t>
      </w:r>
      <w:r w:rsidRPr="004F3E51">
        <w:rPr>
          <w:rFonts w:ascii="Times New Roman" w:hAnsi="Times New Roman" w:cs="Times New Roman"/>
          <w:color w:val="222222"/>
          <w:sz w:val="24"/>
          <w:szCs w:val="24"/>
          <w:shd w:val="clear" w:color="auto" w:fill="FFFFFF"/>
        </w:rPr>
        <w:t xml:space="preserve"> pollutants on terrestrial ecosystem</w:t>
      </w:r>
      <w:r>
        <w:rPr>
          <w:rFonts w:ascii="Times New Roman" w:hAnsi="Times New Roman" w:cs="Times New Roman"/>
          <w:color w:val="222222"/>
          <w:sz w:val="24"/>
          <w:szCs w:val="24"/>
          <w:shd w:val="clear" w:color="auto" w:fill="FFFFFF"/>
        </w:rPr>
        <w:t xml:space="preserve"> functioning</w:t>
      </w:r>
      <w:r w:rsidRPr="004F3E51">
        <w:rPr>
          <w:rFonts w:ascii="Times New Roman" w:hAnsi="Times New Roman" w:cs="Times New Roman"/>
          <w:color w:val="222222"/>
          <w:sz w:val="24"/>
          <w:szCs w:val="24"/>
          <w:shd w:val="clear" w:color="auto" w:fill="FFFFFF"/>
        </w:rPr>
        <w:t>. Carbon dioxide uptake by plant photosynthesis</w:t>
      </w:r>
      <w:r>
        <w:rPr>
          <w:rFonts w:ascii="Times New Roman" w:hAnsi="Times New Roman" w:cs="Times New Roman"/>
          <w:color w:val="222222"/>
          <w:sz w:val="24"/>
          <w:szCs w:val="24"/>
          <w:shd w:val="clear" w:color="auto" w:fill="FFFFFF"/>
        </w:rPr>
        <w:t xml:space="preserve"> −</w:t>
      </w:r>
      <w:r w:rsidRPr="004F3E51">
        <w:rPr>
          <w:rFonts w:ascii="Times New Roman" w:hAnsi="Times New Roman" w:cs="Times New Roman"/>
          <w:color w:val="222222"/>
          <w:sz w:val="24"/>
          <w:szCs w:val="24"/>
          <w:shd w:val="clear" w:color="auto" w:fill="FFFFFF"/>
        </w:rPr>
        <w:t xml:space="preserve"> referred to as gross primary production at the ecosystem level</w:t>
      </w:r>
      <w:r>
        <w:rPr>
          <w:rFonts w:ascii="Times New Roman" w:hAnsi="Times New Roman" w:cs="Times New Roman"/>
          <w:color w:val="222222"/>
          <w:sz w:val="24"/>
          <w:szCs w:val="24"/>
          <w:shd w:val="clear" w:color="auto" w:fill="FFFFFF"/>
        </w:rPr>
        <w:t xml:space="preserve"> –</w:t>
      </w:r>
      <w:r w:rsidRPr="004F3E51">
        <w:rPr>
          <w:rFonts w:ascii="Times New Roman" w:hAnsi="Times New Roman" w:cs="Times New Roman"/>
          <w:color w:val="222222"/>
          <w:sz w:val="24"/>
          <w:szCs w:val="24"/>
          <w:shd w:val="clear" w:color="auto" w:fill="FFFFFF"/>
        </w:rPr>
        <w:t xml:space="preserve"> is sensitive to environmental factors </w:t>
      </w:r>
      <w:r>
        <w:rPr>
          <w:rFonts w:ascii="Times New Roman" w:hAnsi="Times New Roman" w:cs="Times New Roman"/>
          <w:color w:val="222222"/>
          <w:sz w:val="24"/>
          <w:szCs w:val="24"/>
          <w:shd w:val="clear" w:color="auto" w:fill="FFFFFF"/>
        </w:rPr>
        <w:t xml:space="preserve">including </w:t>
      </w:r>
      <w:r w:rsidRPr="004F3E51">
        <w:rPr>
          <w:rFonts w:ascii="Times New Roman" w:hAnsi="Times New Roman" w:cs="Times New Roman"/>
          <w:color w:val="222222"/>
          <w:sz w:val="24"/>
          <w:szCs w:val="24"/>
          <w:shd w:val="clear" w:color="auto" w:fill="FFFFFF"/>
        </w:rPr>
        <w:t>the</w:t>
      </w:r>
      <w:r>
        <w:rPr>
          <w:rFonts w:ascii="Times New Roman" w:hAnsi="Times New Roman" w:cs="Times New Roman"/>
          <w:color w:val="222222"/>
          <w:sz w:val="24"/>
          <w:szCs w:val="24"/>
          <w:shd w:val="clear" w:color="auto" w:fill="FFFFFF"/>
        </w:rPr>
        <w:t xml:space="preserve"> exposure to and uptake</w:t>
      </w:r>
      <w:r w:rsidRPr="004F3E51">
        <w:rPr>
          <w:rFonts w:ascii="Times New Roman" w:hAnsi="Times New Roman" w:cs="Times New Roman"/>
          <w:color w:val="222222"/>
          <w:sz w:val="24"/>
          <w:szCs w:val="24"/>
          <w:shd w:val="clear" w:color="auto" w:fill="FFFFFF"/>
        </w:rPr>
        <w:t xml:space="preserve"> of pollutant</w:t>
      </w:r>
      <w:r>
        <w:rPr>
          <w:rFonts w:ascii="Times New Roman" w:hAnsi="Times New Roman" w:cs="Times New Roman"/>
          <w:color w:val="222222"/>
          <w:sz w:val="24"/>
          <w:szCs w:val="24"/>
          <w:shd w:val="clear" w:color="auto" w:fill="FFFFFF"/>
        </w:rPr>
        <w:t xml:space="preserve">s as well as changes in the atmospheric scattering of </w:t>
      </w:r>
      <w:r w:rsidRPr="004F3E51">
        <w:rPr>
          <w:rFonts w:ascii="Times New Roman" w:hAnsi="Times New Roman" w:cs="Times New Roman"/>
          <w:color w:val="222222"/>
          <w:sz w:val="24"/>
          <w:szCs w:val="24"/>
          <w:shd w:val="clear" w:color="auto" w:fill="FFFFFF"/>
        </w:rPr>
        <w:t xml:space="preserve">solar </w:t>
      </w:r>
      <w:r>
        <w:rPr>
          <w:rFonts w:ascii="Times New Roman" w:hAnsi="Times New Roman" w:cs="Times New Roman"/>
          <w:color w:val="222222"/>
          <w:sz w:val="24"/>
          <w:szCs w:val="24"/>
          <w:shd w:val="clear" w:color="auto" w:fill="FFFFFF"/>
        </w:rPr>
        <w:t xml:space="preserve">shortwave </w:t>
      </w:r>
      <w:r w:rsidRPr="004F3E51">
        <w:rPr>
          <w:rFonts w:ascii="Times New Roman" w:hAnsi="Times New Roman" w:cs="Times New Roman"/>
          <w:color w:val="222222"/>
          <w:sz w:val="24"/>
          <w:szCs w:val="24"/>
          <w:shd w:val="clear" w:color="auto" w:fill="FFFFFF"/>
        </w:rPr>
        <w:t xml:space="preserve">irradiance, which is the source of energy for photosynthesis. Such effects are difficult to detect since </w:t>
      </w:r>
      <w:r>
        <w:rPr>
          <w:rFonts w:ascii="Times New Roman" w:hAnsi="Times New Roman" w:cs="Times New Roman"/>
          <w:color w:val="222222"/>
          <w:sz w:val="24"/>
          <w:szCs w:val="24"/>
          <w:shd w:val="clear" w:color="auto" w:fill="FFFFFF"/>
        </w:rPr>
        <w:t xml:space="preserve">other </w:t>
      </w:r>
      <w:r w:rsidRPr="004F3E51">
        <w:rPr>
          <w:rFonts w:ascii="Times New Roman" w:hAnsi="Times New Roman" w:cs="Times New Roman"/>
          <w:color w:val="222222"/>
          <w:sz w:val="24"/>
          <w:szCs w:val="24"/>
          <w:shd w:val="clear" w:color="auto" w:fill="FFFFFF"/>
        </w:rPr>
        <w:t>meteorological drivers and management also</w:t>
      </w:r>
      <w:r>
        <w:rPr>
          <w:rFonts w:ascii="Times New Roman" w:hAnsi="Times New Roman" w:cs="Times New Roman"/>
          <w:color w:val="222222"/>
          <w:sz w:val="24"/>
          <w:szCs w:val="24"/>
          <w:shd w:val="clear" w:color="auto" w:fill="FFFFFF"/>
        </w:rPr>
        <w:t xml:space="preserve"> influence</w:t>
      </w:r>
      <w:r w:rsidRPr="004F3E51">
        <w:rPr>
          <w:rFonts w:ascii="Times New Roman" w:hAnsi="Times New Roman" w:cs="Times New Roman"/>
          <w:color w:val="222222"/>
          <w:sz w:val="24"/>
          <w:szCs w:val="24"/>
          <w:shd w:val="clear" w:color="auto" w:fill="FFFFFF"/>
        </w:rPr>
        <w:t xml:space="preserve"> gross primary production. </w:t>
      </w:r>
      <w:r>
        <w:rPr>
          <w:rFonts w:ascii="Times New Roman" w:hAnsi="Times New Roman" w:cs="Times New Roman"/>
          <w:color w:val="222222"/>
          <w:sz w:val="24"/>
          <w:szCs w:val="24"/>
          <w:shd w:val="clear" w:color="auto" w:fill="FFFFFF"/>
        </w:rPr>
        <w:t xml:space="preserve">Using data from </w:t>
      </w:r>
      <w:r w:rsidRPr="004F3E51">
        <w:rPr>
          <w:rFonts w:ascii="Times New Roman" w:hAnsi="Times New Roman" w:cs="Times New Roman"/>
          <w:color w:val="222222"/>
          <w:sz w:val="24"/>
          <w:szCs w:val="24"/>
          <w:shd w:val="clear" w:color="auto" w:fill="FFFFFF"/>
        </w:rPr>
        <w:t xml:space="preserve">44 European </w:t>
      </w:r>
      <w:r>
        <w:rPr>
          <w:rFonts w:ascii="Times New Roman" w:hAnsi="Times New Roman" w:cs="Times New Roman"/>
          <w:color w:val="222222"/>
          <w:sz w:val="24"/>
          <w:szCs w:val="24"/>
          <w:shd w:val="clear" w:color="auto" w:fill="FFFFFF"/>
        </w:rPr>
        <w:t>CO</w:t>
      </w:r>
      <w:r w:rsidRPr="002B1F6A">
        <w:rPr>
          <w:rFonts w:ascii="Times New Roman" w:hAnsi="Times New Roman" w:cs="Times New Roman"/>
          <w:color w:val="222222"/>
          <w:sz w:val="24"/>
          <w:szCs w:val="24"/>
          <w:shd w:val="clear" w:color="auto" w:fill="FFFFFF"/>
          <w:vertAlign w:val="subscript"/>
        </w:rPr>
        <w:t xml:space="preserve">2 </w:t>
      </w:r>
      <w:r>
        <w:rPr>
          <w:rFonts w:ascii="Times New Roman" w:hAnsi="Times New Roman" w:cs="Times New Roman"/>
          <w:color w:val="222222"/>
          <w:sz w:val="24"/>
          <w:szCs w:val="24"/>
          <w:shd w:val="clear" w:color="auto" w:fill="FFFFFF"/>
        </w:rPr>
        <w:t xml:space="preserve">flux monitoring </w:t>
      </w:r>
      <w:r w:rsidRPr="004F3E51">
        <w:rPr>
          <w:rFonts w:ascii="Times New Roman" w:hAnsi="Times New Roman" w:cs="Times New Roman"/>
          <w:color w:val="222222"/>
          <w:sz w:val="24"/>
          <w:szCs w:val="24"/>
          <w:shd w:val="clear" w:color="auto" w:fill="FFFFFF"/>
        </w:rPr>
        <w:t>stations</w:t>
      </w:r>
      <w:r>
        <w:rPr>
          <w:rFonts w:ascii="Times New Roman" w:hAnsi="Times New Roman" w:cs="Times New Roman"/>
          <w:color w:val="222222"/>
          <w:sz w:val="24"/>
          <w:szCs w:val="24"/>
          <w:shd w:val="clear" w:color="auto" w:fill="FFFFFF"/>
        </w:rPr>
        <w:t>, we found</w:t>
      </w:r>
      <w:r w:rsidRPr="004F3E51">
        <w:rPr>
          <w:rFonts w:ascii="Times New Roman" w:hAnsi="Times New Roman" w:cs="Times New Roman"/>
          <w:color w:val="222222"/>
          <w:sz w:val="24"/>
          <w:szCs w:val="24"/>
          <w:shd w:val="clear" w:color="auto" w:fill="FFFFFF"/>
        </w:rPr>
        <w:t xml:space="preserve"> that gross primary production increased </w:t>
      </w:r>
      <w:r>
        <w:rPr>
          <w:rFonts w:ascii="Times New Roman" w:hAnsi="Times New Roman" w:cs="Times New Roman"/>
          <w:color w:val="222222"/>
          <w:sz w:val="24"/>
          <w:szCs w:val="24"/>
          <w:shd w:val="clear" w:color="auto" w:fill="FFFFFF"/>
        </w:rPr>
        <w:t xml:space="preserve">on average by 17% </w:t>
      </w:r>
      <w:r w:rsidRPr="004F3E51">
        <w:rPr>
          <w:rFonts w:ascii="Times New Roman" w:hAnsi="Times New Roman" w:cs="Times New Roman"/>
          <w:color w:val="222222"/>
          <w:sz w:val="24"/>
          <w:szCs w:val="24"/>
          <w:shd w:val="clear" w:color="auto" w:fill="FFFFFF"/>
        </w:rPr>
        <w:t xml:space="preserve">at </w:t>
      </w:r>
      <w:r>
        <w:rPr>
          <w:rFonts w:ascii="Times New Roman" w:hAnsi="Times New Roman" w:cs="Times New Roman"/>
          <w:color w:val="222222"/>
          <w:sz w:val="24"/>
          <w:szCs w:val="24"/>
          <w:shd w:val="clear" w:color="auto" w:fill="FFFFFF"/>
        </w:rPr>
        <w:t xml:space="preserve">half of these </w:t>
      </w:r>
      <w:r w:rsidRPr="004F3E51">
        <w:rPr>
          <w:rFonts w:ascii="Times New Roman" w:hAnsi="Times New Roman" w:cs="Times New Roman"/>
          <w:color w:val="222222"/>
          <w:sz w:val="24"/>
          <w:szCs w:val="24"/>
          <w:shd w:val="clear" w:color="auto" w:fill="FFFFFF"/>
        </w:rPr>
        <w:t xml:space="preserve">sites during the spring of 2020 </w:t>
      </w:r>
      <w:r>
        <w:rPr>
          <w:rFonts w:ascii="Times New Roman" w:hAnsi="Times New Roman" w:cs="Times New Roman"/>
          <w:color w:val="222222"/>
          <w:sz w:val="24"/>
          <w:szCs w:val="24"/>
          <w:shd w:val="clear" w:color="auto" w:fill="FFFFFF"/>
        </w:rPr>
        <w:t>relative to the recent interannual mean. However, 12 sites experienced a 15% decrease in gross primary production, mainly due to</w:t>
      </w:r>
      <w:r w:rsidRPr="004F3E51">
        <w:rPr>
          <w:rFonts w:ascii="Times New Roman" w:hAnsi="Times New Roman" w:cs="Times New Roman"/>
          <w:color w:val="222222"/>
          <w:sz w:val="24"/>
          <w:szCs w:val="24"/>
          <w:shd w:val="clear" w:color="auto" w:fill="FFFFFF"/>
        </w:rPr>
        <w:t xml:space="preserve"> atmospheric and soil dryness. </w:t>
      </w:r>
      <w:r>
        <w:rPr>
          <w:rFonts w:ascii="Times New Roman" w:hAnsi="Times New Roman" w:cs="Times New Roman"/>
          <w:color w:val="222222"/>
          <w:sz w:val="24"/>
          <w:szCs w:val="24"/>
          <w:shd w:val="clear" w:color="auto" w:fill="FFFFFF"/>
        </w:rPr>
        <w:t>Analysis of a regional atmospheric chemical transport model (LOTOS-EUROS) showed that t</w:t>
      </w:r>
      <w:r w:rsidRPr="004F3E51">
        <w:rPr>
          <w:rFonts w:ascii="Times New Roman" w:hAnsi="Times New Roman" w:cs="Times New Roman"/>
          <w:color w:val="222222"/>
          <w:sz w:val="24"/>
          <w:szCs w:val="24"/>
          <w:shd w:val="clear" w:color="auto" w:fill="FFFFFF"/>
        </w:rPr>
        <w:t>he ozone concentration remain</w:t>
      </w:r>
      <w:r>
        <w:rPr>
          <w:rFonts w:ascii="Times New Roman" w:hAnsi="Times New Roman" w:cs="Times New Roman"/>
          <w:color w:val="222222"/>
          <w:sz w:val="24"/>
          <w:szCs w:val="24"/>
          <w:shd w:val="clear" w:color="auto" w:fill="FFFFFF"/>
        </w:rPr>
        <w:t>ed</w:t>
      </w:r>
      <w:r w:rsidRPr="004F3E51">
        <w:rPr>
          <w:rFonts w:ascii="Times New Roman" w:hAnsi="Times New Roman" w:cs="Times New Roman"/>
          <w:color w:val="222222"/>
          <w:sz w:val="24"/>
          <w:szCs w:val="24"/>
          <w:shd w:val="clear" w:color="auto" w:fill="FFFFFF"/>
        </w:rPr>
        <w:t xml:space="preserve"> almost unchanged in</w:t>
      </w:r>
      <w:r>
        <w:rPr>
          <w:rFonts w:ascii="Times New Roman" w:hAnsi="Times New Roman" w:cs="Times New Roman"/>
          <w:color w:val="222222"/>
          <w:sz w:val="24"/>
          <w:szCs w:val="24"/>
          <w:shd w:val="clear" w:color="auto" w:fill="FFFFFF"/>
        </w:rPr>
        <w:t xml:space="preserve"> the research sites</w:t>
      </w:r>
      <w:r w:rsidRPr="004F3E5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making it unlikely that O</w:t>
      </w:r>
      <w:r w:rsidRPr="002B1F6A">
        <w:rPr>
          <w:rFonts w:ascii="Times New Roman" w:hAnsi="Times New Roman" w:cs="Times New Roman"/>
          <w:color w:val="222222"/>
          <w:sz w:val="24"/>
          <w:szCs w:val="24"/>
          <w:shd w:val="clear" w:color="auto" w:fill="FFFFFF"/>
          <w:vertAlign w:val="subscript"/>
        </w:rPr>
        <w:t>3</w:t>
      </w:r>
      <w:r>
        <w:rPr>
          <w:rFonts w:ascii="Times New Roman" w:hAnsi="Times New Roman" w:cs="Times New Roman"/>
          <w:color w:val="222222"/>
          <w:sz w:val="24"/>
          <w:szCs w:val="24"/>
          <w:shd w:val="clear" w:color="auto" w:fill="FFFFFF"/>
        </w:rPr>
        <w:t xml:space="preserve"> exposure was the dominant factor driving the production </w:t>
      </w:r>
      <w:r w:rsidRPr="004F3E51">
        <w:rPr>
          <w:rFonts w:ascii="Times New Roman" w:hAnsi="Times New Roman" w:cs="Times New Roman"/>
          <w:color w:val="222222"/>
          <w:sz w:val="24"/>
          <w:szCs w:val="24"/>
          <w:shd w:val="clear" w:color="auto" w:fill="FFFFFF"/>
        </w:rPr>
        <w:t xml:space="preserve">anomaly. </w:t>
      </w:r>
      <w:r>
        <w:rPr>
          <w:rFonts w:ascii="Times New Roman" w:hAnsi="Times New Roman" w:cs="Times New Roman"/>
          <w:color w:val="222222"/>
          <w:sz w:val="24"/>
          <w:szCs w:val="24"/>
          <w:shd w:val="clear" w:color="auto" w:fill="FFFFFF"/>
        </w:rPr>
        <w:t xml:space="preserve">By contrast, </w:t>
      </w:r>
      <w:r w:rsidRPr="004F3E51">
        <w:rPr>
          <w:rFonts w:ascii="Times New Roman" w:hAnsi="Times New Roman" w:cs="Times New Roman"/>
          <w:color w:val="222222"/>
          <w:sz w:val="24"/>
          <w:szCs w:val="24"/>
          <w:shd w:val="clear" w:color="auto" w:fill="FFFFFF"/>
        </w:rPr>
        <w:t>shortwave irradiance</w:t>
      </w:r>
      <w:r>
        <w:rPr>
          <w:rFonts w:ascii="Times New Roman" w:hAnsi="Times New Roman" w:cs="Times New Roman"/>
          <w:color w:val="222222"/>
          <w:sz w:val="24"/>
          <w:szCs w:val="24"/>
          <w:shd w:val="clear" w:color="auto" w:fill="FFFFFF"/>
        </w:rPr>
        <w:t xml:space="preserve"> </w:t>
      </w:r>
      <w:r w:rsidRPr="004F3E51">
        <w:rPr>
          <w:rFonts w:ascii="Times New Roman" w:hAnsi="Times New Roman" w:cs="Times New Roman"/>
          <w:color w:val="222222"/>
          <w:sz w:val="24"/>
          <w:szCs w:val="24"/>
          <w:shd w:val="clear" w:color="auto" w:fill="FFFFFF"/>
        </w:rPr>
        <w:t xml:space="preserve">increased </w:t>
      </w:r>
      <w:r>
        <w:rPr>
          <w:rFonts w:ascii="Times New Roman" w:hAnsi="Times New Roman" w:cs="Times New Roman"/>
          <w:color w:val="222222"/>
          <w:sz w:val="24"/>
          <w:szCs w:val="24"/>
          <w:shd w:val="clear" w:color="auto" w:fill="FFFFFF"/>
        </w:rPr>
        <w:t>by 9.4% at 36 sites compared to the reference period, suggesting that increased solar irradiance, possibly</w:t>
      </w:r>
      <w:r w:rsidRPr="004F3E51">
        <w:rPr>
          <w:rFonts w:ascii="Times New Roman" w:hAnsi="Times New Roman" w:cs="Times New Roman"/>
          <w:color w:val="222222"/>
          <w:sz w:val="24"/>
          <w:szCs w:val="24"/>
          <w:shd w:val="clear" w:color="auto" w:fill="FFFFFF"/>
        </w:rPr>
        <w:t xml:space="preserve"> due to </w:t>
      </w:r>
      <w:r>
        <w:rPr>
          <w:rFonts w:ascii="Times New Roman" w:hAnsi="Times New Roman" w:cs="Times New Roman"/>
          <w:color w:val="222222"/>
          <w:sz w:val="24"/>
          <w:szCs w:val="24"/>
          <w:shd w:val="clear" w:color="auto" w:fill="FFFFFF"/>
        </w:rPr>
        <w:t xml:space="preserve">reduced </w:t>
      </w:r>
      <w:r w:rsidRPr="004F3E51">
        <w:rPr>
          <w:rFonts w:ascii="Times New Roman" w:hAnsi="Times New Roman" w:cs="Times New Roman"/>
          <w:color w:val="222222"/>
          <w:sz w:val="24"/>
          <w:szCs w:val="24"/>
          <w:shd w:val="clear" w:color="auto" w:fill="FFFFFF"/>
        </w:rPr>
        <w:t>aerosol optical depth</w:t>
      </w:r>
      <w:r>
        <w:rPr>
          <w:rFonts w:ascii="Times New Roman" w:hAnsi="Times New Roman" w:cs="Times New Roman"/>
          <w:color w:val="222222"/>
          <w:sz w:val="24"/>
          <w:szCs w:val="24"/>
          <w:shd w:val="clear" w:color="auto" w:fill="FFFFFF"/>
        </w:rPr>
        <w:t xml:space="preserve"> and </w:t>
      </w:r>
      <w:r w:rsidRPr="004F3E51">
        <w:rPr>
          <w:rFonts w:ascii="Times New Roman" w:hAnsi="Times New Roman" w:cs="Times New Roman"/>
          <w:color w:val="222222"/>
          <w:sz w:val="24"/>
          <w:szCs w:val="24"/>
          <w:shd w:val="clear" w:color="auto" w:fill="FFFFFF"/>
        </w:rPr>
        <w:t>cloudine</w:t>
      </w:r>
      <w:r>
        <w:rPr>
          <w:rFonts w:ascii="Times New Roman" w:hAnsi="Times New Roman" w:cs="Times New Roman"/>
          <w:color w:val="222222"/>
          <w:sz w:val="24"/>
          <w:szCs w:val="24"/>
          <w:shd w:val="clear" w:color="auto" w:fill="FFFFFF"/>
        </w:rPr>
        <w:t>s</w:t>
      </w:r>
      <w:r w:rsidRPr="004F3E51">
        <w:rPr>
          <w:rFonts w:ascii="Times New Roman" w:hAnsi="Times New Roman" w:cs="Times New Roman"/>
          <w:color w:val="222222"/>
          <w:sz w:val="24"/>
          <w:szCs w:val="24"/>
          <w:shd w:val="clear" w:color="auto" w:fill="FFFFFF"/>
        </w:rPr>
        <w:t>s</w:t>
      </w:r>
      <w:r>
        <w:rPr>
          <w:rFonts w:ascii="Times New Roman" w:hAnsi="Times New Roman" w:cs="Times New Roman"/>
          <w:color w:val="222222"/>
          <w:sz w:val="24"/>
          <w:szCs w:val="24"/>
          <w:shd w:val="clear" w:color="auto" w:fill="FFFFFF"/>
        </w:rPr>
        <w:t xml:space="preserve"> contributed to the </w:t>
      </w:r>
      <w:r w:rsidRPr="004F3E51">
        <w:rPr>
          <w:rFonts w:ascii="Times New Roman" w:hAnsi="Times New Roman" w:cs="Times New Roman"/>
          <w:color w:val="222222"/>
          <w:sz w:val="24"/>
          <w:szCs w:val="24"/>
          <w:shd w:val="clear" w:color="auto" w:fill="FFFFFF"/>
        </w:rPr>
        <w:t>gross primary production enhancement</w:t>
      </w:r>
      <w:r>
        <w:rPr>
          <w:rFonts w:ascii="Times New Roman" w:hAnsi="Times New Roman" w:cs="Times New Roman"/>
          <w:color w:val="222222"/>
          <w:sz w:val="24"/>
          <w:szCs w:val="24"/>
          <w:shd w:val="clear" w:color="auto" w:fill="FFFFFF"/>
        </w:rPr>
        <w:t>. Our findings</w:t>
      </w:r>
      <w:r w:rsidRPr="004F3E51">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suggest </w:t>
      </w:r>
      <w:r w:rsidRPr="004F3E51">
        <w:rPr>
          <w:rFonts w:ascii="Times New Roman" w:hAnsi="Times New Roman" w:cs="Times New Roman"/>
          <w:color w:val="222222"/>
          <w:sz w:val="24"/>
          <w:szCs w:val="24"/>
          <w:shd w:val="clear" w:color="auto" w:fill="FFFFFF"/>
        </w:rPr>
        <w:t xml:space="preserve">that air pollution </w:t>
      </w:r>
      <w:r>
        <w:rPr>
          <w:rFonts w:ascii="Times New Roman" w:hAnsi="Times New Roman" w:cs="Times New Roman"/>
          <w:color w:val="222222"/>
          <w:sz w:val="24"/>
          <w:szCs w:val="24"/>
          <w:shd w:val="clear" w:color="auto" w:fill="FFFFFF"/>
        </w:rPr>
        <w:t>and</w:t>
      </w:r>
      <w:r w:rsidRPr="004F3E51">
        <w:rPr>
          <w:rFonts w:ascii="Times New Roman" w:hAnsi="Times New Roman" w:cs="Times New Roman"/>
          <w:color w:val="222222"/>
          <w:sz w:val="24"/>
          <w:szCs w:val="24"/>
          <w:shd w:val="clear" w:color="auto" w:fill="FFFFFF"/>
        </w:rPr>
        <w:t xml:space="preserve"> cloudiness may attenuate the terrestrial carbon sink strength</w:t>
      </w:r>
      <w:r>
        <w:rPr>
          <w:rFonts w:ascii="Times New Roman" w:hAnsi="Times New Roman" w:cs="Times New Roman"/>
          <w:color w:val="222222"/>
          <w:sz w:val="24"/>
          <w:szCs w:val="24"/>
          <w:shd w:val="clear" w:color="auto" w:fill="FFFFFF"/>
        </w:rPr>
        <w:t xml:space="preserve"> by as much as 5%</w:t>
      </w:r>
      <w:r w:rsidRPr="004F3E51">
        <w:rPr>
          <w:rFonts w:ascii="Times New Roman" w:hAnsi="Times New Roman" w:cs="Times New Roman"/>
          <w:color w:val="222222"/>
          <w:sz w:val="24"/>
          <w:szCs w:val="24"/>
          <w:shd w:val="clear" w:color="auto" w:fill="FFFFFF"/>
        </w:rPr>
        <w:t xml:space="preserve">. </w:t>
      </w:r>
      <w:r w:rsidRPr="004F3E51">
        <w:rPr>
          <w:rFonts w:ascii="Times New Roman" w:hAnsi="Times New Roman" w:cs="Times New Roman"/>
          <w:color w:val="222222"/>
          <w:sz w:val="24"/>
          <w:szCs w:val="24"/>
          <w:shd w:val="clear" w:color="auto" w:fill="FFFFFF"/>
        </w:rPr>
        <w:lastRenderedPageBreak/>
        <w:t>The</w:t>
      </w:r>
      <w:r>
        <w:rPr>
          <w:rFonts w:ascii="Times New Roman" w:hAnsi="Times New Roman" w:cs="Times New Roman"/>
          <w:color w:val="222222"/>
          <w:sz w:val="24"/>
          <w:szCs w:val="24"/>
          <w:shd w:val="clear" w:color="auto" w:fill="FFFFFF"/>
        </w:rPr>
        <w:t xml:space="preserve">se results underscore </w:t>
      </w:r>
      <w:r w:rsidRPr="004F3E51">
        <w:rPr>
          <w:rFonts w:ascii="Times New Roman" w:hAnsi="Times New Roman" w:cs="Times New Roman"/>
          <w:color w:val="222222"/>
          <w:sz w:val="24"/>
          <w:szCs w:val="24"/>
          <w:shd w:val="clear" w:color="auto" w:fill="FFFFFF"/>
        </w:rPr>
        <w:t xml:space="preserve">the </w:t>
      </w:r>
      <w:r>
        <w:rPr>
          <w:rFonts w:ascii="Times New Roman" w:hAnsi="Times New Roman" w:cs="Times New Roman"/>
          <w:color w:val="222222"/>
          <w:sz w:val="24"/>
          <w:szCs w:val="24"/>
          <w:shd w:val="clear" w:color="auto" w:fill="FFFFFF"/>
        </w:rPr>
        <w:t>critical need of</w:t>
      </w:r>
      <w:r w:rsidRPr="004F3E51">
        <w:rPr>
          <w:rFonts w:ascii="Times New Roman" w:hAnsi="Times New Roman" w:cs="Times New Roman"/>
          <w:color w:val="222222"/>
          <w:sz w:val="24"/>
          <w:szCs w:val="24"/>
          <w:shd w:val="clear" w:color="auto" w:fill="FFFFFF"/>
        </w:rPr>
        <w:t xml:space="preserve"> accurate and continuous ground-based observations </w:t>
      </w:r>
      <w:r>
        <w:rPr>
          <w:rFonts w:ascii="Times New Roman" w:hAnsi="Times New Roman" w:cs="Times New Roman"/>
          <w:color w:val="222222"/>
          <w:sz w:val="24"/>
          <w:szCs w:val="24"/>
          <w:shd w:val="clear" w:color="auto" w:fill="FFFFFF"/>
        </w:rPr>
        <w:t xml:space="preserve">to detect </w:t>
      </w:r>
      <w:r w:rsidRPr="004F3E51">
        <w:rPr>
          <w:rFonts w:ascii="Times New Roman" w:hAnsi="Times New Roman" w:cs="Times New Roman"/>
          <w:color w:val="222222"/>
          <w:sz w:val="24"/>
          <w:szCs w:val="24"/>
          <w:shd w:val="clear" w:color="auto" w:fill="FFFFFF"/>
        </w:rPr>
        <w:t>and attrib</w:t>
      </w:r>
      <w:r>
        <w:rPr>
          <w:rFonts w:ascii="Times New Roman" w:hAnsi="Times New Roman" w:cs="Times New Roman"/>
          <w:color w:val="222222"/>
          <w:sz w:val="24"/>
          <w:szCs w:val="24"/>
          <w:shd w:val="clear" w:color="auto" w:fill="FFFFFF"/>
        </w:rPr>
        <w:t xml:space="preserve">ute </w:t>
      </w:r>
      <w:r w:rsidRPr="004F3E51">
        <w:rPr>
          <w:rFonts w:ascii="Times New Roman" w:hAnsi="Times New Roman" w:cs="Times New Roman"/>
          <w:color w:val="222222"/>
          <w:sz w:val="24"/>
          <w:szCs w:val="24"/>
          <w:shd w:val="clear" w:color="auto" w:fill="FFFFFF"/>
        </w:rPr>
        <w:t>subtle changes in terrestrial ecosystem functioning.</w:t>
      </w:r>
    </w:p>
    <w:p w14:paraId="7DB3C088" w14:textId="77777777" w:rsidR="00103AF5" w:rsidRDefault="00103AF5" w:rsidP="00103AF5">
      <w:pPr>
        <w:snapToGrid w:val="0"/>
        <w:spacing w:after="0" w:line="480" w:lineRule="auto"/>
        <w:rPr>
          <w:rFonts w:ascii="Times New Roman" w:hAnsi="Times New Roman" w:cs="Times New Roman"/>
          <w:color w:val="222222"/>
          <w:sz w:val="24"/>
          <w:szCs w:val="24"/>
          <w:shd w:val="clear" w:color="auto" w:fill="FFFFFF"/>
        </w:rPr>
      </w:pPr>
      <w:r w:rsidRPr="002525B5">
        <w:rPr>
          <w:rFonts w:ascii="Times New Roman" w:hAnsi="Times New Roman" w:cs="Times New Roman"/>
          <w:b/>
          <w:bCs/>
          <w:color w:val="222222"/>
          <w:sz w:val="24"/>
          <w:szCs w:val="24"/>
          <w:shd w:val="clear" w:color="auto" w:fill="FFFFFF"/>
        </w:rPr>
        <w:t>Keywords:</w:t>
      </w:r>
      <w:r>
        <w:rPr>
          <w:rFonts w:ascii="Times New Roman" w:hAnsi="Times New Roman" w:cs="Times New Roman"/>
          <w:color w:val="222222"/>
          <w:sz w:val="24"/>
          <w:szCs w:val="24"/>
          <w:shd w:val="clear" w:color="auto" w:fill="FFFFFF"/>
        </w:rPr>
        <w:t xml:space="preserve"> gross primary production, COVID-19, air quality, shortwave irradiance, aerosol optical depth, diffuse radiation, eddy covariance</w:t>
      </w:r>
    </w:p>
    <w:p w14:paraId="73EE2607" w14:textId="77777777" w:rsidR="00103AF5" w:rsidRPr="00017254" w:rsidRDefault="00103AF5" w:rsidP="00103AF5">
      <w:pPr>
        <w:snapToGrid w:val="0"/>
        <w:spacing w:after="0" w:line="480" w:lineRule="auto"/>
        <w:rPr>
          <w:rFonts w:ascii="Times New Roman" w:hAnsi="Times New Roman" w:cs="Times New Roman"/>
          <w:color w:val="222222"/>
          <w:sz w:val="24"/>
          <w:szCs w:val="24"/>
          <w:shd w:val="clear" w:color="auto" w:fill="FFFFFF"/>
        </w:rPr>
      </w:pPr>
    </w:p>
    <w:p w14:paraId="1235C7DE" w14:textId="77777777" w:rsidR="00103AF5" w:rsidRPr="00BD6292" w:rsidRDefault="00103AF5" w:rsidP="00103AF5">
      <w:pPr>
        <w:pStyle w:val="ListParagraph"/>
        <w:numPr>
          <w:ilvl w:val="0"/>
          <w:numId w:val="5"/>
        </w:numPr>
        <w:snapToGrid w:val="0"/>
        <w:spacing w:after="0" w:line="480" w:lineRule="auto"/>
        <w:ind w:left="284" w:hanging="284"/>
        <w:rPr>
          <w:rFonts w:ascii="Times New Roman" w:hAnsi="Times New Roman" w:cs="Times New Roman"/>
          <w:b/>
          <w:sz w:val="24"/>
          <w:szCs w:val="24"/>
        </w:rPr>
      </w:pPr>
      <w:r w:rsidRPr="00BD6292">
        <w:rPr>
          <w:rFonts w:ascii="Times New Roman" w:hAnsi="Times New Roman" w:cs="Times New Roman"/>
          <w:b/>
          <w:sz w:val="24"/>
          <w:szCs w:val="24"/>
        </w:rPr>
        <w:t>INTRODUCTION</w:t>
      </w:r>
    </w:p>
    <w:p w14:paraId="344143BA" w14:textId="77777777" w:rsidR="00103AF5" w:rsidRDefault="00103AF5" w:rsidP="00103AF5">
      <w:pPr>
        <w:snapToGrid w:val="0"/>
        <w:spacing w:after="0" w:line="480" w:lineRule="auto"/>
        <w:rPr>
          <w:rFonts w:ascii="Times New Roman" w:hAnsi="Times New Roman" w:cs="Times New Roman"/>
          <w:sz w:val="24"/>
          <w:szCs w:val="24"/>
        </w:rPr>
      </w:pPr>
      <w:r w:rsidRPr="004F3E51">
        <w:rPr>
          <w:rFonts w:ascii="Times New Roman" w:hAnsi="Times New Roman" w:cs="Times New Roman"/>
          <w:sz w:val="24"/>
          <w:szCs w:val="24"/>
        </w:rPr>
        <w:t xml:space="preserve">The emergence of the novel coronavirus disease (COVID-19) in late 2019 and </w:t>
      </w:r>
      <w:r>
        <w:rPr>
          <w:rFonts w:ascii="Times New Roman" w:hAnsi="Times New Roman" w:cs="Times New Roman"/>
          <w:sz w:val="24"/>
          <w:szCs w:val="24"/>
        </w:rPr>
        <w:t xml:space="preserve">its </w:t>
      </w:r>
      <w:r w:rsidRPr="004F3E51">
        <w:rPr>
          <w:rFonts w:ascii="Times New Roman" w:hAnsi="Times New Roman" w:cs="Times New Roman"/>
          <w:sz w:val="24"/>
          <w:szCs w:val="24"/>
        </w:rPr>
        <w:t xml:space="preserve">rapid </w:t>
      </w:r>
      <w:r>
        <w:rPr>
          <w:rFonts w:ascii="Times New Roman" w:hAnsi="Times New Roman" w:cs="Times New Roman"/>
          <w:sz w:val="24"/>
          <w:szCs w:val="24"/>
        </w:rPr>
        <w:t xml:space="preserve">spread across the globe </w:t>
      </w:r>
      <w:r w:rsidRPr="004F3E51">
        <w:rPr>
          <w:rFonts w:ascii="Times New Roman" w:hAnsi="Times New Roman" w:cs="Times New Roman"/>
          <w:sz w:val="24"/>
          <w:szCs w:val="24"/>
        </w:rPr>
        <w:t xml:space="preserve">have </w:t>
      </w:r>
      <w:r>
        <w:rPr>
          <w:rFonts w:ascii="Times New Roman" w:hAnsi="Times New Roman" w:cs="Times New Roman"/>
          <w:sz w:val="24"/>
          <w:szCs w:val="24"/>
        </w:rPr>
        <w:t xml:space="preserve">severely restricted </w:t>
      </w:r>
      <w:r w:rsidRPr="004F3E51">
        <w:rPr>
          <w:rFonts w:ascii="Times New Roman" w:hAnsi="Times New Roman" w:cs="Times New Roman"/>
          <w:sz w:val="24"/>
          <w:szCs w:val="24"/>
        </w:rPr>
        <w:t xml:space="preserve">human activities. </w:t>
      </w:r>
      <w:r>
        <w:rPr>
          <w:rFonts w:ascii="Times New Roman" w:hAnsi="Times New Roman" w:cs="Times New Roman"/>
          <w:sz w:val="24"/>
          <w:szCs w:val="24"/>
        </w:rPr>
        <w:t xml:space="preserve">In response, most </w:t>
      </w:r>
      <w:r w:rsidRPr="004F3E51">
        <w:rPr>
          <w:rFonts w:ascii="Times New Roman" w:hAnsi="Times New Roman" w:cs="Times New Roman"/>
          <w:sz w:val="24"/>
          <w:szCs w:val="24"/>
        </w:rPr>
        <w:t xml:space="preserve">European countries </w:t>
      </w:r>
      <w:r>
        <w:rPr>
          <w:rFonts w:ascii="Times New Roman" w:hAnsi="Times New Roman" w:cs="Times New Roman"/>
          <w:sz w:val="24"/>
          <w:szCs w:val="24"/>
        </w:rPr>
        <w:t xml:space="preserve">implemented full </w:t>
      </w:r>
      <w:r w:rsidRPr="004F3E51">
        <w:rPr>
          <w:rFonts w:ascii="Times New Roman" w:hAnsi="Times New Roman" w:cs="Times New Roman"/>
          <w:sz w:val="24"/>
          <w:szCs w:val="24"/>
        </w:rPr>
        <w:t>or partial lockdown</w:t>
      </w:r>
      <w:r>
        <w:rPr>
          <w:rFonts w:ascii="Times New Roman" w:hAnsi="Times New Roman" w:cs="Times New Roman"/>
          <w:sz w:val="24"/>
          <w:szCs w:val="24"/>
        </w:rPr>
        <w:t xml:space="preserve">s, following </w:t>
      </w:r>
      <w:r w:rsidRPr="004F3E51">
        <w:rPr>
          <w:rFonts w:ascii="Times New Roman" w:hAnsi="Times New Roman" w:cs="Times New Roman"/>
          <w:sz w:val="24"/>
          <w:szCs w:val="24"/>
        </w:rPr>
        <w:t>World Health Organization</w:t>
      </w:r>
      <w:r>
        <w:rPr>
          <w:rFonts w:ascii="Times New Roman" w:hAnsi="Times New Roman" w:cs="Times New Roman"/>
          <w:sz w:val="24"/>
          <w:szCs w:val="24"/>
        </w:rPr>
        <w:t xml:space="preserve">’s declaration of </w:t>
      </w:r>
      <w:r w:rsidRPr="004F3E51">
        <w:rPr>
          <w:rFonts w:ascii="Times New Roman" w:hAnsi="Times New Roman" w:cs="Times New Roman"/>
          <w:sz w:val="24"/>
          <w:szCs w:val="24"/>
        </w:rPr>
        <w:t xml:space="preserve">Europe as the global epicentre of the pandemic on 13 March 2020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{"citationItems":[{"id":"ITEM-1","itemData":{"URL":"https://www.who.int/director-general/speeches/detail/who-director-general-s-opening-remarks-at-the-mission-briefing-on-covid-19---13-march-2020","author":[{"dropping-particle":"","family":"World Health Organisation","given":"","non-dropping-particle":"","parse-names":false,"suffix":""}],"id":"ITEM-1","issued":{"date-parts":[["2020"]]},"title":"WHO Director-General's opening remarks at the media briefing on COVID-19 - 13 March 2020","type":"webpage"},"uris":["http://www.mendeley.com/documents/?uuid=118df06d-1649-44be-9a7a-c1d4677e0285"]}],"mendeley":{"formattedCitation":"(World Health Organisation, 2020)","plainTextFormattedCitation":"(World Health Organisation, 2020)","previouslyFormattedCitation":"(World Health Organisation, 2020)"},"properties":{"noteIndex":0},"schema":"https://github.com/citation-style-language/schema/raw/master/csl-citation.json"}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(World Health Organisation, 2020)</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xml:space="preserve">. </w:t>
      </w:r>
      <w:r>
        <w:rPr>
          <w:rFonts w:ascii="Times New Roman" w:hAnsi="Times New Roman" w:cs="Times New Roman"/>
          <w:sz w:val="24"/>
          <w:szCs w:val="24"/>
        </w:rPr>
        <w:t>Lockdown measures such as c</w:t>
      </w:r>
      <w:r w:rsidRPr="004F3E51">
        <w:rPr>
          <w:rFonts w:ascii="Times New Roman" w:hAnsi="Times New Roman" w:cs="Times New Roman"/>
          <w:sz w:val="24"/>
          <w:szCs w:val="24"/>
        </w:rPr>
        <w:t>losure of borders, schools and non-essential business</w:t>
      </w:r>
      <w:r>
        <w:rPr>
          <w:rFonts w:ascii="Times New Roman" w:hAnsi="Times New Roman" w:cs="Times New Roman"/>
          <w:sz w:val="24"/>
          <w:szCs w:val="24"/>
        </w:rPr>
        <w:t>es,</w:t>
      </w:r>
      <w:r w:rsidRPr="004F3E51">
        <w:rPr>
          <w:rFonts w:ascii="Times New Roman" w:hAnsi="Times New Roman" w:cs="Times New Roman"/>
          <w:sz w:val="24"/>
          <w:szCs w:val="24"/>
        </w:rPr>
        <w:t xml:space="preserve"> as well as "stay at home" policies and mobility restrictions</w:t>
      </w:r>
      <w:r>
        <w:rPr>
          <w:rFonts w:ascii="Times New Roman" w:hAnsi="Times New Roman" w:cs="Times New Roman"/>
          <w:sz w:val="24"/>
          <w:szCs w:val="24"/>
        </w:rPr>
        <w:t xml:space="preserve">, </w:t>
      </w:r>
      <w:r w:rsidRPr="004F3E51">
        <w:rPr>
          <w:rFonts w:ascii="Times New Roman" w:hAnsi="Times New Roman" w:cs="Times New Roman"/>
          <w:sz w:val="24"/>
          <w:szCs w:val="24"/>
        </w:rPr>
        <w:t xml:space="preserve">led to an unprecedented reduction in </w:t>
      </w:r>
      <w:r>
        <w:rPr>
          <w:rFonts w:ascii="Times New Roman" w:hAnsi="Times New Roman" w:cs="Times New Roman"/>
          <w:sz w:val="24"/>
          <w:szCs w:val="24"/>
        </w:rPr>
        <w:t xml:space="preserve">primary </w:t>
      </w:r>
      <w:r w:rsidRPr="004F3E51">
        <w:rPr>
          <w:rFonts w:ascii="Times New Roman" w:hAnsi="Times New Roman" w:cs="Times New Roman"/>
          <w:sz w:val="24"/>
          <w:szCs w:val="24"/>
        </w:rPr>
        <w:t>air pollutant emissions</w:t>
      </w:r>
      <w:r>
        <w:rPr>
          <w:rFonts w:ascii="Times New Roman" w:hAnsi="Times New Roman" w:cs="Times New Roman"/>
          <w:sz w:val="24"/>
          <w:szCs w:val="24"/>
        </w:rPr>
        <w:t xml:space="preserve"> in much of Europe</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Between </w:t>
      </w:r>
      <w:r w:rsidRPr="004F3E51">
        <w:rPr>
          <w:rFonts w:ascii="Times New Roman" w:hAnsi="Times New Roman" w:cs="Times New Roman"/>
          <w:sz w:val="24"/>
          <w:szCs w:val="24"/>
        </w:rPr>
        <w:t>March 23</w:t>
      </w:r>
      <w:r>
        <w:rPr>
          <w:rFonts w:ascii="Times New Roman" w:hAnsi="Times New Roman" w:cs="Times New Roman"/>
          <w:sz w:val="24"/>
          <w:szCs w:val="24"/>
        </w:rPr>
        <w:t xml:space="preserve"> and </w:t>
      </w:r>
      <w:r w:rsidRPr="004F3E51">
        <w:rPr>
          <w:rFonts w:ascii="Times New Roman" w:hAnsi="Times New Roman" w:cs="Times New Roman"/>
          <w:sz w:val="24"/>
          <w:szCs w:val="24"/>
        </w:rPr>
        <w:t xml:space="preserve">April </w:t>
      </w:r>
      <w:r>
        <w:rPr>
          <w:rFonts w:ascii="Times New Roman" w:hAnsi="Times New Roman" w:cs="Times New Roman"/>
          <w:sz w:val="24"/>
          <w:szCs w:val="24"/>
        </w:rPr>
        <w:t>26,</w:t>
      </w:r>
      <w:r w:rsidRPr="000B5F54">
        <w:rPr>
          <w:rFonts w:ascii="Times New Roman" w:hAnsi="Times New Roman" w:cs="Times New Roman"/>
          <w:sz w:val="24"/>
          <w:szCs w:val="24"/>
        </w:rPr>
        <w:t xml:space="preserve"> </w:t>
      </w:r>
      <w:r w:rsidRPr="004F3E51">
        <w:rPr>
          <w:rFonts w:ascii="Times New Roman" w:hAnsi="Times New Roman" w:cs="Times New Roman"/>
          <w:sz w:val="24"/>
          <w:szCs w:val="24"/>
        </w:rPr>
        <w:t>the most intensive lockdown period</w:t>
      </w:r>
      <w:r>
        <w:rPr>
          <w:rFonts w:ascii="Times New Roman" w:hAnsi="Times New Roman" w:cs="Times New Roman"/>
          <w:sz w:val="24"/>
          <w:szCs w:val="24"/>
        </w:rPr>
        <w:t xml:space="preserve"> of lockdown, </w:t>
      </w:r>
      <w:r w:rsidRPr="004F3E51">
        <w:rPr>
          <w:rFonts w:ascii="Times New Roman" w:hAnsi="Times New Roman" w:cs="Times New Roman"/>
          <w:sz w:val="24"/>
          <w:szCs w:val="24"/>
        </w:rPr>
        <w:t xml:space="preserve">emissions </w:t>
      </w:r>
      <w:r>
        <w:rPr>
          <w:rFonts w:ascii="Times New Roman" w:hAnsi="Times New Roman" w:cs="Times New Roman"/>
          <w:sz w:val="24"/>
          <w:szCs w:val="24"/>
        </w:rPr>
        <w:t xml:space="preserve">of </w:t>
      </w:r>
      <w:r w:rsidRPr="00C0181C">
        <w:rPr>
          <w:rFonts w:ascii="Times New Roman" w:hAnsi="Times New Roman" w:cs="Times New Roman"/>
          <w:sz w:val="24"/>
          <w:szCs w:val="24"/>
        </w:rPr>
        <w:t xml:space="preserve">nitrogen oxides </w:t>
      </w:r>
      <w:r>
        <w:rPr>
          <w:rFonts w:ascii="Times New Roman" w:hAnsi="Times New Roman" w:cs="Times New Roman"/>
          <w:sz w:val="24"/>
          <w:szCs w:val="24"/>
        </w:rPr>
        <w:t>(</w:t>
      </w:r>
      <w:r w:rsidRPr="004F3E51">
        <w:rPr>
          <w:rFonts w:ascii="Times New Roman" w:hAnsi="Times New Roman" w:cs="Times New Roman"/>
          <w:sz w:val="24"/>
          <w:szCs w:val="24"/>
        </w:rPr>
        <w:t>NO</w:t>
      </w:r>
      <w:r w:rsidRPr="004F3E51">
        <w:rPr>
          <w:rFonts w:ascii="Times New Roman" w:hAnsi="Times New Roman" w:cs="Times New Roman"/>
          <w:sz w:val="24"/>
          <w:szCs w:val="24"/>
          <w:vertAlign w:val="subscript"/>
        </w:rPr>
        <w:t>x</w:t>
      </w:r>
      <w:r>
        <w:rPr>
          <w:rFonts w:ascii="Times New Roman" w:hAnsi="Times New Roman" w:cs="Times New Roman"/>
          <w:sz w:val="24"/>
          <w:szCs w:val="24"/>
        </w:rPr>
        <w:t>) were reduced by an average of 33%</w:t>
      </w:r>
      <w:r w:rsidRPr="004F3E51">
        <w:rPr>
          <w:rFonts w:ascii="Times New Roman" w:hAnsi="Times New Roman" w:cs="Times New Roman"/>
          <w:sz w:val="24"/>
          <w:szCs w:val="24"/>
        </w:rPr>
        <w:t>, non-methane volatile organic compounds (NMVOCs)</w:t>
      </w:r>
      <w:r>
        <w:rPr>
          <w:rFonts w:ascii="Times New Roman" w:hAnsi="Times New Roman" w:cs="Times New Roman"/>
          <w:sz w:val="24"/>
          <w:szCs w:val="24"/>
        </w:rPr>
        <w:t xml:space="preserve"> by </w:t>
      </w:r>
      <w:r w:rsidRPr="004F3E51">
        <w:rPr>
          <w:rFonts w:ascii="Times New Roman" w:hAnsi="Times New Roman" w:cs="Times New Roman"/>
          <w:sz w:val="24"/>
          <w:szCs w:val="24"/>
        </w:rPr>
        <w:t xml:space="preserve">8%, </w:t>
      </w:r>
      <w:r>
        <w:rPr>
          <w:rFonts w:ascii="Times New Roman" w:hAnsi="Times New Roman" w:cs="Times New Roman"/>
          <w:sz w:val="24"/>
          <w:szCs w:val="24"/>
        </w:rPr>
        <w:t>sulphur oxides (</w:t>
      </w:r>
      <w:r w:rsidRPr="004F3E51">
        <w:rPr>
          <w:rFonts w:ascii="Times New Roman" w:hAnsi="Times New Roman" w:cs="Times New Roman"/>
          <w:sz w:val="24"/>
          <w:szCs w:val="24"/>
        </w:rPr>
        <w:t>SO</w:t>
      </w:r>
      <w:r w:rsidRPr="004F3E51">
        <w:rPr>
          <w:rFonts w:ascii="Times New Roman" w:hAnsi="Times New Roman" w:cs="Times New Roman"/>
          <w:sz w:val="24"/>
          <w:szCs w:val="24"/>
          <w:vertAlign w:val="subscript"/>
        </w:rPr>
        <w:t>x</w:t>
      </w:r>
      <w:r>
        <w:rPr>
          <w:rFonts w:ascii="Times New Roman" w:hAnsi="Times New Roman" w:cs="Times New Roman"/>
          <w:sz w:val="24"/>
          <w:szCs w:val="24"/>
        </w:rPr>
        <w:t>)</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4F3E51">
        <w:rPr>
          <w:rFonts w:ascii="Times New Roman" w:hAnsi="Times New Roman" w:cs="Times New Roman"/>
          <w:sz w:val="24"/>
          <w:szCs w:val="24"/>
        </w:rPr>
        <w:t>7%</w:t>
      </w:r>
      <w:r>
        <w:rPr>
          <w:rFonts w:ascii="Times New Roman" w:hAnsi="Times New Roman" w:cs="Times New Roman"/>
          <w:sz w:val="24"/>
          <w:szCs w:val="24"/>
        </w:rPr>
        <w:t xml:space="preserve">, </w:t>
      </w:r>
      <w:r w:rsidRPr="004F3E51">
        <w:rPr>
          <w:rFonts w:ascii="Times New Roman" w:hAnsi="Times New Roman" w:cs="Times New Roman"/>
          <w:sz w:val="24"/>
          <w:szCs w:val="24"/>
        </w:rPr>
        <w:t xml:space="preserve">and </w:t>
      </w:r>
      <w:r w:rsidRPr="00E35EB1">
        <w:rPr>
          <w:rFonts w:ascii="Times New Roman" w:hAnsi="Times New Roman" w:cs="Times New Roman"/>
          <w:sz w:val="24"/>
          <w:szCs w:val="24"/>
        </w:rPr>
        <w:t xml:space="preserve">particulate matter 2.5 </w:t>
      </w:r>
      <w:r>
        <w:rPr>
          <w:rFonts w:ascii="Times New Roman" w:hAnsi="Times New Roman" w:cs="Times New Roman"/>
          <w:sz w:val="24"/>
          <w:szCs w:val="24"/>
        </w:rPr>
        <w:t>(</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2.5</w:t>
      </w:r>
      <w:r>
        <w:rPr>
          <w:rFonts w:ascii="Times New Roman" w:hAnsi="Times New Roman" w:cs="Times New Roman"/>
          <w:sz w:val="24"/>
          <w:szCs w:val="24"/>
        </w:rPr>
        <w:t>)</w:t>
      </w:r>
      <w:r w:rsidRPr="004F3E51">
        <w:rPr>
          <w:rFonts w:ascii="Times New Roman" w:hAnsi="Times New Roman" w:cs="Times New Roman"/>
          <w:sz w:val="24"/>
          <w:szCs w:val="24"/>
          <w:vertAlign w:val="subscript"/>
        </w:rPr>
        <w:t xml:space="preserve"> </w:t>
      </w:r>
      <w:r w:rsidRPr="004F3E51">
        <w:rPr>
          <w:rFonts w:ascii="Times New Roman" w:hAnsi="Times New Roman" w:cs="Times New Roman"/>
          <w:sz w:val="24"/>
          <w:szCs w:val="24"/>
        </w:rPr>
        <w:t>across 30 European countries</w:t>
      </w:r>
      <w:r>
        <w:rPr>
          <w:rFonts w:ascii="Times New Roman" w:hAnsi="Times New Roman" w:cs="Times New Roman"/>
          <w:sz w:val="24"/>
          <w:szCs w:val="24"/>
        </w:rPr>
        <w:t>.</w:t>
      </w:r>
      <w:r w:rsidRPr="004F3E51">
        <w:rPr>
          <w:rFonts w:ascii="Times New Roman" w:hAnsi="Times New Roman" w:cs="Times New Roman"/>
          <w:sz w:val="24"/>
          <w:szCs w:val="24"/>
        </w:rPr>
        <w:t xml:space="preserve"> </w:t>
      </w:r>
      <w:r>
        <w:rPr>
          <w:rFonts w:ascii="Times New Roman" w:hAnsi="Times New Roman" w:cs="Times New Roman"/>
          <w:sz w:val="24"/>
          <w:szCs w:val="24"/>
        </w:rPr>
        <w:t>R</w:t>
      </w:r>
      <w:r w:rsidRPr="004F3E51">
        <w:rPr>
          <w:rFonts w:ascii="Times New Roman" w:hAnsi="Times New Roman" w:cs="Times New Roman"/>
          <w:sz w:val="24"/>
          <w:szCs w:val="24"/>
        </w:rPr>
        <w:t xml:space="preserve">oad transport </w:t>
      </w:r>
      <w:r>
        <w:rPr>
          <w:rFonts w:ascii="Times New Roman" w:hAnsi="Times New Roman" w:cs="Times New Roman"/>
          <w:sz w:val="24"/>
          <w:szCs w:val="24"/>
        </w:rPr>
        <w:t>accounted for</w:t>
      </w:r>
      <w:r w:rsidRPr="004F3E51">
        <w:rPr>
          <w:rFonts w:ascii="Times New Roman" w:hAnsi="Times New Roman" w:cs="Times New Roman"/>
          <w:sz w:val="24"/>
          <w:szCs w:val="24"/>
        </w:rPr>
        <w:t xml:space="preserve"> more than 85% of the total reduction </w:t>
      </w:r>
      <w:r>
        <w:rPr>
          <w:rFonts w:ascii="Times New Roman" w:hAnsi="Times New Roman" w:cs="Times New Roman"/>
          <w:sz w:val="24"/>
          <w:szCs w:val="24"/>
        </w:rPr>
        <w:t>in</w:t>
      </w:r>
      <w:r w:rsidRPr="004F3E51">
        <w:rPr>
          <w:rFonts w:ascii="Times New Roman" w:hAnsi="Times New Roman" w:cs="Times New Roman"/>
          <w:sz w:val="24"/>
          <w:szCs w:val="24"/>
        </w:rPr>
        <w:t xml:space="preserve"> all pollutants</w:t>
      </w:r>
      <w:r>
        <w:rPr>
          <w:rFonts w:ascii="Times New Roman" w:hAnsi="Times New Roman" w:cs="Times New Roman"/>
          <w:sz w:val="24"/>
          <w:szCs w:val="24"/>
        </w:rPr>
        <w:t>,</w:t>
      </w:r>
      <w:r w:rsidRPr="004F3E51">
        <w:rPr>
          <w:rFonts w:ascii="Times New Roman" w:hAnsi="Times New Roman" w:cs="Times New Roman"/>
          <w:sz w:val="24"/>
          <w:szCs w:val="24"/>
        </w:rPr>
        <w:t xml:space="preserve"> except </w:t>
      </w:r>
      <w:r>
        <w:rPr>
          <w:rFonts w:ascii="Times New Roman" w:hAnsi="Times New Roman" w:cs="Times New Roman"/>
          <w:sz w:val="24"/>
          <w:szCs w:val="24"/>
        </w:rPr>
        <w:t xml:space="preserve">for </w:t>
      </w:r>
      <w:r w:rsidRPr="004F3E51">
        <w:rPr>
          <w:rFonts w:ascii="Times New Roman" w:hAnsi="Times New Roman" w:cs="Times New Roman"/>
          <w:sz w:val="24"/>
          <w:szCs w:val="24"/>
        </w:rPr>
        <w:t>SO</w:t>
      </w:r>
      <w:r w:rsidRPr="004F3E51">
        <w:rPr>
          <w:rFonts w:ascii="Times New Roman" w:hAnsi="Times New Roman" w:cs="Times New Roman"/>
          <w:sz w:val="24"/>
          <w:szCs w:val="24"/>
          <w:vertAlign w:val="subscript"/>
        </w:rPr>
        <w:t>x</w:t>
      </w:r>
      <w:r w:rsidRPr="004F3E5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{"citationItems":[{"id":"ITEM-1","itemData":{"DOI":"10.5194/acp-21-773-2021","ISSN":"16807324","abstract":"We quantify the reductions in primary emissions due to the COVID-19 lockdowns in Europe. Our estimates are provided in the form of a dataset of reduction factors varying per country and day that will allow the modelling and identification of the associated impacts upon air quality. The country- and daily-resolved reduction factors are provided for each of the following source categories: energy industry (power plants), manufacturing industry, road traffic and aviation (landing and take-off cycle). We computed the reduction factors based on open-access and near-realtime measured activity data from a wide range of information sources. We also trained a machine learning model with meteorological data to derive weather-normalized electricity consumption reductions. The time period covered is from 21 February, when the first European localized lockdown was implemented in the region of Lombardy (Italy), until 26 April 2020. This period includes 5 weeks (23 March until 26 April) with the most severe and relatively unchanged restrictions upon mobility and socio-economic activities across Europe. The computed reduction factors were combined with the Copernicus Atmosphere Monitoring Service's European emission inventory using adjusted temporal emission profiles in order to derive time-resolved emission reductions per country and pollutant sector. During the most severe lockdown period, we estimate the average emission reductions to be -33 % for NOx, -8 % for non-methane volatile organic compounds (NMVOCs), -7 % for SOx and -7 % for PM2.5 at the EU-30 level (EU-28 plus Norway and Switzerland). For all pollutants more than 85 % of the total reduction is attributable to road transport, except SOx. The reductions reached -50 % (NOx), -14 % (NMVOCs), -12 % (SOx) and -15 % (PM2.5) in countries where the lockdown restrictions were more severe such as Italy, France or Spain. To show the potential for air quality modelling, we simulated and evaluated NO2 concentration decreases in rural and urban background regions across Europe (Italy, Spain, France, Germany, United-Kingdom and Sweden). We found the lockdown measures to be responsible for NO2 reductions of up to -58 % at urban background locations (Madrid, Spain) and -44 % at rural background areas (France), with an average contribution of the traffic sector to total reductions of 86 % and 93 %, respectively. A clear improvement of the modelled results was found when considering the emission reduction factors, especially…","author":[{"dropping-particle":"","family":"Guevara","given":"Marc","non-dropping-particle":"","parse-names":false,"suffix":""},{"dropping-particle":"","family":"Jorba","given":"Oriol","non-dropping-particle":"","parse-names":false,"suffix":""},{"dropping-particle":"","family":"Soret","given":"Albert","non-dropping-particle":"","parse-names":false,"suffix":""},{"dropping-particle":"","family":"Petetin","given":"Hervé","non-dropping-particle":"","parse-names":false,"suffix":""},{"dropping-particle":"","family":"Bowdalo","given":"Dene","non-dropping-particle":"","parse-names":false,"suffix":""},{"dropping-particle":"","family":"Serradell","given":"Kim","non-dropping-particle":"","parse-names":false,"suffix":""},{"dropping-particle":"","family":"Tena","given":"Carles","non-dropping-particle":"","parse-names":false,"suffix":""},{"dropping-particle":"","family":"Gon","given":"Hugo Denier","non-dropping-particle":"Van Der","parse-names":false,"suffix":""},{"dropping-particle":"","family":"Kuenen","given":"Jeroen","non-dropping-particle":"","parse-names":false,"suffix":""},{"dropping-particle":"","family":"Peuch","given":"Vincent Henri","non-dropping-particle":"","parse-names":false,"suffix":""},{"dropping-particle":"","family":"Pérez Garciá-Pando","given":"Carlos","non-dropping-particle":"","parse-names":false,"suffix":""}],"container-title":"Atmospheric Chemistry and Physics","id":"ITEM-1","issue":"2","issued":{"date-parts":[["2021"]]},"page":"773-797","title":"Time-resolved emission reductions for atmospheric chemistry modelling in Europe during the COVID-19 lockdowns","type":"article-journal","volume":"21"},"uris":["http://www.mendeley.com/documents/?uuid=cf3bdcf3-3a73-4fcb-a024-beb8681a7f9b"]},{"id":"ITEM-2","itemData":{"DOI":"10.5194/essd-14-2521-2022","ISSN":"18663516","abstract":"We present a European dataset of daily sector-, pollutant- and country-dependent emission adjustment factors associated with the COVID-19 mobility restrictions for the year 2020. We considered metrics traditionally used to estimate emissions, such as energy statistics or traffic counts, as well as information derived from new mobility indicators and machine learning techniques. The resulting dataset covers a total of nine emission sectors, including road transport, the energy industry, the manufacturing industry, residential and commercial combustion, aviation, shipping, off-road transport, use of solvents, and fugitive emissions from transportation and distribution of fossil fuels. The dataset was produced to be combined with the Copernicus CAMS-REGv5.1 2020 business-as-usual (BAU) inventory, which provides high-resolution (0.1g×0.05g) emission estimates for 2020 omitting the impact of the COVID-19 restrictions. The combination of both datasets allows quantifying spatially and temporally resolved reductions in primary emissions from both criteria pollutants (NOx, SO2, non-methane volatile organic compounds - NMVOCs, NH3, CO, PM10 and PM2.5) and greenhouse gases (CO2 fossil fuel, CO2 biofuel and CH4), as well as assessing the contribution of each emission sector and European country to the overall emission changes. Estimated overall emission changes in 2020 relative to BAU emissions were as follows: -10.5g% for NOx (-602gkt), -7.8g% (-260.2gMt) for CO2 from fossil fuels, -4.7g% (-808.5gkt) for CO, -4.6g% (-80gkt) for SO2, -3.3g% (-19.1gMt) for CO2 from biofuels, -3.0g% (-56.3gkt) for PM10, -2.5g% (-173.3gkt) for NMVOCs, -2.1g% (-24.3gkt) for PM2.5, -0.9g% (-156.1gkt) for CH4 and -0.2g% (-8.6gkt) for NH3. The most pronounced drop in emissions occurred in April (up to -32.8g% on average for NOx) when mobility restrictions were at their maxima. The emission reductions during the second epidemic wave between October and December were 3 to 4 times lower than those occurred during the spring lockdown, as mobility restrictions were generally softer (e.g. curfews, limited social gatherings). Italy, France, Spain, the United Kingdom and Germany were, together, the largest contributors to the total EU27 + UK (27 member states of the European Union and the UK) absolute emission decreases. At the sectoral level, the largest emission declines were found for aviation (-51g% to -56g%), followed by road transport (-15.5g% to -18.8g%), the latter being the main driver o…","author":[{"dropping-particle":"","family":"Guevara","given":"Marc","non-dropping-particle":"","parse-names":false,"suffix":""},{"dropping-particle":"","family":"Petetin","given":"Herve","non-dropping-particle":"","parse-names":false,"suffix":""},{"dropping-particle":"","family":"Jorba","given":"Oriol","non-dropping-particle":"","parse-names":false,"suffix":""},{"dropping-particle":"","family":"Denier Van Der Gon","given":"Hugo","non-dropping-particle":"","parse-names":false,"suffix":""},{"dropping-particle":"","family":"Kuenen","given":"Jeroen","non-dropping-particle":"","parse-names":false,"suffix":""},{"dropping-particle":"","family":"Super","given":"Ingrid","non-dropping-particle":"","parse-names":false,"suffix":""},{"dropping-particle":"","family":"Jalkanen","given":"Jukka Pekka","non-dropping-particle":"","parse-names":false,"suffix":""},{"dropping-particle":"","family":"Majamaki","given":"Elisa","non-dropping-particle":"","parse-names":false,"suffix":""},{"dropping-particle":"","family":"Johansson","given":"Lasse","non-dropping-particle":"","parse-names":false,"suffix":""},{"dropping-particle":"","family":"Peuch","given":"Vincent Henri","non-dropping-particle":"","parse-names":false,"suffix":""},{"dropping-particle":"","family":"Perez Garcia-Pando","given":"Carlos","non-dropping-particle":"","parse-names":false,"suffix":""}],"container-title":"Earth System Science Data","id":"ITEM-2","issue":"6","issued":{"date-parts":[["2022"]]},"page":"2521-2552","title":"European primary emissions of criteria pollutants and greenhouse gases in 2020 modulated by the COVID-19 pandemic disruptions","type":"article-journal","volume":"14"},"uris":["http://www.mendeley.com/documents/?uuid=562b1397-400e-415c-a137-e4c4717c452f"]}],"mendeley":{"formattedCitation":"(Guevara et al., 2021, 2022)","plainTextFormattedCitation":"(Guevara et al., 2021, 2022)","previouslyFormattedCitation":"(Guevara et al., 2021, 2022)"},"properties":{"noteIndex":0},"schema":"https://github.com/citation-style-language/schema/raw/master/csl-citation.json"}</w:instrText>
      </w:r>
      <w:r>
        <w:rPr>
          <w:rFonts w:ascii="Times New Roman" w:hAnsi="Times New Roman" w:cs="Times New Roman"/>
          <w:sz w:val="24"/>
          <w:szCs w:val="24"/>
        </w:rPr>
        <w:fldChar w:fldCharType="separate"/>
      </w:r>
      <w:r w:rsidRPr="00045A1D">
        <w:rPr>
          <w:rFonts w:ascii="Times New Roman" w:hAnsi="Times New Roman" w:cs="Times New Roman"/>
          <w:noProof/>
          <w:sz w:val="24"/>
          <w:szCs w:val="24"/>
        </w:rPr>
        <w:t>(Guevara et al., 2021, 2022)</w:t>
      </w:r>
      <w:r>
        <w:rPr>
          <w:rFonts w:ascii="Times New Roman" w:hAnsi="Times New Roman" w:cs="Times New Roman"/>
          <w:sz w:val="24"/>
          <w:szCs w:val="24"/>
        </w:rPr>
        <w:fldChar w:fldCharType="end"/>
      </w:r>
      <w:r w:rsidRPr="004F3E51">
        <w:rPr>
          <w:rFonts w:ascii="Times New Roman" w:hAnsi="Times New Roman" w:cs="Times New Roman"/>
          <w:sz w:val="24"/>
          <w:szCs w:val="24"/>
        </w:rPr>
        <w:t xml:space="preserve">. </w:t>
      </w:r>
    </w:p>
    <w:p w14:paraId="46CFF343" w14:textId="77777777" w:rsidR="00103AF5" w:rsidRPr="004F3E51" w:rsidRDefault="00103AF5" w:rsidP="00103AF5">
      <w:pPr>
        <w:snapToGrid w:val="0"/>
        <w:spacing w:after="0" w:line="480" w:lineRule="auto"/>
        <w:ind w:firstLine="720"/>
        <w:rPr>
          <w:rFonts w:ascii="Times New Roman" w:hAnsi="Times New Roman" w:cs="Times New Roman"/>
          <w:sz w:val="24"/>
          <w:szCs w:val="24"/>
        </w:rPr>
      </w:pPr>
      <w:r w:rsidRPr="004F3E51">
        <w:rPr>
          <w:rFonts w:ascii="Times New Roman" w:hAnsi="Times New Roman" w:cs="Times New Roman"/>
          <w:sz w:val="24"/>
          <w:szCs w:val="24"/>
        </w:rPr>
        <w:t>The reduction of NO</w:t>
      </w:r>
      <w:r w:rsidRPr="004F3E51">
        <w:rPr>
          <w:rFonts w:ascii="Times New Roman" w:hAnsi="Times New Roman" w:cs="Times New Roman"/>
          <w:sz w:val="24"/>
          <w:szCs w:val="24"/>
          <w:vertAlign w:val="subscript"/>
        </w:rPr>
        <w:t>x</w:t>
      </w:r>
      <w:r w:rsidRPr="004F3E51">
        <w:rPr>
          <w:rFonts w:ascii="Times New Roman" w:hAnsi="Times New Roman" w:cs="Times New Roman"/>
          <w:sz w:val="24"/>
          <w:szCs w:val="24"/>
        </w:rPr>
        <w:t xml:space="preserve"> emissions </w:t>
      </w:r>
      <w:r>
        <w:rPr>
          <w:rFonts w:ascii="Times New Roman" w:hAnsi="Times New Roman" w:cs="Times New Roman"/>
          <w:sz w:val="24"/>
          <w:szCs w:val="24"/>
        </w:rPr>
        <w:t xml:space="preserve">resulted in </w:t>
      </w:r>
      <w:r w:rsidRPr="004F3E51">
        <w:rPr>
          <w:rFonts w:ascii="Times New Roman" w:hAnsi="Times New Roman" w:cs="Times New Roman"/>
          <w:sz w:val="24"/>
          <w:szCs w:val="24"/>
        </w:rPr>
        <w:t xml:space="preserve">a substantial </w:t>
      </w:r>
      <w:r>
        <w:rPr>
          <w:rFonts w:ascii="Times New Roman" w:hAnsi="Times New Roman" w:cs="Times New Roman"/>
          <w:sz w:val="24"/>
          <w:szCs w:val="24"/>
        </w:rPr>
        <w:t>decrease</w:t>
      </w:r>
      <w:r w:rsidRPr="004F3E51">
        <w:rPr>
          <w:rFonts w:ascii="Times New Roman" w:hAnsi="Times New Roman" w:cs="Times New Roman"/>
          <w:sz w:val="24"/>
          <w:szCs w:val="24"/>
        </w:rPr>
        <w:t xml:space="preserve"> in NO</w:t>
      </w:r>
      <w:r w:rsidRPr="004F3E51">
        <w:rPr>
          <w:rFonts w:ascii="Times New Roman" w:hAnsi="Times New Roman" w:cs="Times New Roman"/>
          <w:sz w:val="24"/>
          <w:szCs w:val="24"/>
          <w:vertAlign w:val="subscript"/>
        </w:rPr>
        <w:t>2</w:t>
      </w:r>
      <w:r w:rsidRPr="004F3E51">
        <w:rPr>
          <w:rFonts w:ascii="Times New Roman" w:hAnsi="Times New Roman" w:cs="Times New Roman"/>
          <w:sz w:val="24"/>
          <w:szCs w:val="24"/>
        </w:rPr>
        <w:t xml:space="preserve"> concentration</w:t>
      </w:r>
      <w:r>
        <w:rPr>
          <w:rFonts w:ascii="Times New Roman" w:hAnsi="Times New Roman" w:cs="Times New Roman"/>
          <w:sz w:val="24"/>
          <w:szCs w:val="24"/>
        </w:rPr>
        <w:t xml:space="preserve"> (by 20% to 50%)</w:t>
      </w:r>
      <w:r w:rsidRPr="004F3E51">
        <w:rPr>
          <w:rFonts w:ascii="Times New Roman" w:hAnsi="Times New Roman" w:cs="Times New Roman"/>
          <w:sz w:val="24"/>
          <w:szCs w:val="24"/>
        </w:rPr>
        <w:t xml:space="preserve">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{"citationItems":[{"id":"ITEM-1","itemData":{"DOI":"10.1016/j.scitotenv.2020.140426","ISSN":"18791026","PMID":"32593893","abstract":"Recent studies based on observations have shown the impact of lockdown measures taken in various European countries to contain the Covid-19 pandemic on air quality. However, these studies are often limited to compare situations without and with lockdown measures, which correspond to different time periods and then under different meteorological conditions. We propose a modelling study with the WRF-CHIMERE modelling suite for March 2020, an approach allowing to compare atmospheric composition with and without lockdown measures without the biases of meteorological conditions. This study shows that the lockdown effect on atmospheric composition, in particular through massive traffic reductions, has been important for several short-lived atmospheric trace species, with a large reduction in NO2 concentrations, a lower reduction in Particulate Matter (PM) concentrations and a mitigated effect on ozone concentrations due to non-linear chemical effects.","author":[{"dropping-particle":"","family":"Menut","given":"Laurent","non-dropping-particle":"","parse-names":false,"suffix":""},{"dropping-particle":"","family":"Bessagnet","given":"Bertrand","non-dropping-particle":"","parse-names":false,"suffix":""},{"dropping-particle":"","family":"Siour","given":"Guillaume","non-dropping-particle":"","parse-names":false,"suffix":""},{"dropping-particle":"","family":"Mailler","given":"Sylvain","non-dropping-particle":"","parse-names":false,"suffix":""},{"dropping-particle":"","family":"Pennel","given":"Romain","non-dropping-particle":"","parse-names":false,"suffix":""},{"dropping-particle":"","family":"Cholakian","given":"Arineh","non-dropping-particle":"","parse-names":false,"suffix":""}],"container-title":"Science of the Total Environment","id":"ITEM-1","issued":{"date-parts":[["2020"]]},"page":"140426","publisher":"The Authors","title":"Impact of lockdown measures to combat Covid-19 on air quality over western Europe","type":"article-journal","volume":"741"},"uris":["http://www.mendeley.com/documents/?uuid=67c51c11-ef9c-4d73-b6bd-795b84f937ef"]},{"id":"ITEM-2","itemData":{"DOI":"10.5194/acp-21-7597-2021","ISSN":"16807324","abstract":"The COVID-19 lockdown measures gradually implemented in Lombardy (northern Italy) from 23 February 2020 led to a downturn in several economic sectors with possible impacts on air quality. Several communications claimed in the first weeks of March 2020 that the mitigation in air pollution observed at that time was actually related to these lockdown measures without considering that seasonal variations in emissions and meteorology also influence air quality. To determine the specific impact of lockdown measures on air quality in northern Italy, we compared observations from the European Commission Atmospheric Observatory of Ispra (regional background) and from the regional environmental protection agency (ARPA) air monitoring stations in the Milan conurbation (urban background) with expected values for these observations using two different approaches. On the one hand, intensive aerosol variables determined from specific aerosol characterisation observations performed in Ispra were compared to their 3-year averages. On the other hand, ground-level measured concentrations of atmospheric pollutants (NOspan classCombining double low line\"inline-formula\"2/span, PMspan classCombining double low line\"inline-formula\"10/span, Ospan classCombining double low line\"inline-formula\"3/span, NO, SOspan classCombining double low line\"inline-formula\"2/span) were compared to expected concentrations derived from the Copernicus Atmosphere Monitoring Service Regional (CAMS) ensemble model forecasts, which did not account for lockdown measures. From these comparisons, we show that NOspan classCombining double low line\"inline-formula\"2/span concentrations decreased as a consequence of the lockdown by span classCombining double low line\"inline-formula\"-30/span % and span classCombining double low line\"inline-formula\"-40/span % on average at the urban and regional background sites, respectively. Unlike NOspan classCombining double low line\"inline-formula\"2/span, PMspan classCombining double low line\"inline-formula\"10/span concentrations were not significantly affected by lockdown measures. This could be due to any decreases in PMspan classCombining double low line\"inline-formula\"10/span (and PMspan classCombining double low line\"inline-formula\"10/span precursors) emissions from traffic being compensated for by increases in emissions from domestic heating and/or from changes in the secondary aerosol formation regime resulting from the lockdown measures. The implementation of the l…","author":[{"dropping-particle":"","family":"Putaud","given":"Jean Philippe","non-dropping-particle":"","parse-names":false,"suffix":""},{"dropping-particle":"","family":"Pozzoli","given":"Luca","non-dropping-particle":"","parse-names":false,"suffix":""},{"dropping-particle":"","family":"Pisoni","given":"Enrico","non-dropping-particle":"","parse-names":false,"suffix":""},{"dropping-particle":"","family":"Martins Dos Santos","given":"Sebastiao","non-dropping-particle":"","parse-names":false,"suffix":""},{"dropping-particle":"","family":"Lagler","given":"Friedrich","non-dropping-particle":"","parse-names":false,"suffix":""},{"dropping-particle":"","family":"Lanzani","given":"Guido","non-dropping-particle":"","parse-names":false,"suffix":""},{"dropping-particle":"","family":"Dal Santo","given":"Umberto","non-dropping-particle":"","parse-names":false,"suffix":""},{"dropping-particle":"","family":"Colette","given":"Augustin","non-dropping-particle":"","parse-names":false,"suffix":""}],"container-title":"Atmospheric Chemistry and Physics","id":"ITEM-2","issue":"10","issued":{"date-parts":[["2021"]]},"page":"7597-7609","title":"Impacts of the COVID-19 lockdown on air pollution at regional and urban background sites in northern Italy","type":"article-journal","volume":"21"},"uris":["http://www.mendeley.com/documents/?uuid=a7b0ad1b-18aa-4a2d-bdc6-49322dde6f50"]},{"id":"ITEM-3","itemData":{"DOI":"10.5194/acp-21-7373-2021","ISBN":"2173732021","ISSN":"16807324","abstract":"This study provides a comprehensive assessment of NO2 changes across the main European urban areas induced by COVID-19 lockdowns using satellite retrievals from the Tropospheric Monitoring Instrument (TROPOMI) onboard the Sentinel-5p satellite, surface site measurements, and simulations from the Copernicus Atmosphere Monitoring Service (CAMS) regional ensemble of air quality models. Some recent TROPOMI-based estimates of changes in atmospheric NO2 concentrations have neglected the influence of weather variability between the reference and lockdown periods. Here we provide weather-normalized estimates based on a machine learning method (gradient boosting) along with an assessment of the biases that can be expected from methods that omit the influence of weather. We also compare the weather-normalized satellite-estimated NO2 column changes with weather-normalized surface NO2 concentration changes and the CAMS regional ensemble, composed of 11 models, using recently published estimates of emission reductions induced by the lockdown. All estimates show similar NO2 reductions. Locations where the lockdown measures were stricter show stronger reductions, and, conversely, locations where softer measures were implemented show milder reductions in NO2 pollution levels. Average reduction estimates based on either satellite observations (-23 %), surface stations (-43 %), or models (-32 %) are presented, showing the importance of vertical sampling but also the horizontal representativeness. Surface station estimates are significantly changed when sampled to the TROPOMI overpasses (-37 %), pointing out the importance of the variability in time of such estimates. Observation-based machine learning estimates show a stronger temporal variability than model-based estimates.","author":[{"dropping-particle":"","family":"Barré","given":"Jérôme","non-dropping-particle":"","parse-names":false,"suffix":""},{"dropping-particle":"","family":"Petetin","given":"Hervé","non-dropping-particle":"","parse-names":false,"suffix":""},{"dropping-particle":"","family":"Colette","given":"Augustin","non-dropping-particle":"","parse-names":false,"suffix":""},{"dropping-particle":"","family":"Guevara","given":"Marc","non-dropping-particle":"","parse-names":false,"suffix":""},{"dropping-particle":"","family":"Peuch","given":"Vincent Henri","non-dropping-particle":"","parse-names":false,"suffix":""},{"dropping-particle":"","family":"Rouil","given":"Laurence","non-dropping-particle":"","parse-names":false,"suffix":""},{"dropping-particle":"","family":"Engelen","given":"Richard","non-dropping-particle":"","parse-names":false,"suffix":""},{"dropping-particle":"","family":"Inness","given":"Antje","non-dropping-particle":"","parse-names":false,"suffix":""},{"dropping-particle":"","family":"Flemming","given":"Johannes","non-dropping-particle":"","parse-names":false,"suffix":""},{"dropping-particle":"","family":"Pérez García-Pando","given":"Carlos","non-dropping-particle":"","parse-names":false,"suffix":""},{"dropping-particle":"","family":"Bowdalo","given":"Dene","non-dropping-particle":"","parse-names":false,"suffix":""},{"dropping-particle":"","family":"Meleux","given":"Frederik","non-dropping-particle":"","parse-names":false,"suffix":""},{"dropping-particle":"","family":"Geels","given":"Camilla","non-dropping-particle":"","parse-names":false,"suffix":""},{"dropping-particle":"","family":"Christensen","given":"Jesper H.","non-dropping-particle":"","parse-names":false,"suffix":""},{"dropping-particle":"","family":"Gauss","given":"Michael","non-dropping-particle":"","parse-names":false,"suffix":""},{"dropping-particle":"","family":"Benedictow","given":"Anna","non-dropping-particle":"","parse-names":false,"suffix":""},{"dropping-particle":"","family":"Tsyro","given":"Svetlana","non-dropping-particle":"","parse-names":false,"suffix":""},{"dropping-particle":"","family":"Friese","given":"Elmar","non-dropping-particle":"","parse-names":false,"suffix":""},{"dropping-particle":"","family":"Struzewska","given":"Joanna","non-dropping-particle":"","parse-names":false,"suffix":""},{"dropping-particle":"","family":"Kaminski","given":"Jacek W.","non-dropping-particle":"","parse-names":false,"suffix":""},{"dropping-particle":"","family":"Douros","given":"John","non-dropping-particle":"","parse-names":false,"suffix":""},{"dropping-particle":"","family":"Timmermans","given":"Renske","non-dropping-particle":"","parse-names":false,"suffix":""},{"dropping-particle":"","family":"Robertson","given":"Lennart","non-dropping-particle":"","parse-names":false,"suffix":""},{"dropping-particle":"","family":"Adani","given":"Mario","non-dropping-particle":"","parse-names":false,"suffix":""},{"dropping-particle":"","family":"Jorba","given":"Oriol","non-dropping-particle":"","parse-names":false,"suffix":""},{"dropping-particle":"","family":"Joly","given":"Mathieu","non-dropping-particle":"","parse-names":false,"suffix":""},{"dropping-particle":"","family":"Kouznetsov","given":"Rostislav","non-dropping-particle":"","parse-names":false,"suffix":""}],"container-title":"Atmospheric Chemistry and Physics","id":"ITEM-3","issue":"9","issued":{"date-parts":[["2021"]]},"page":"7373-7394","title":"Estimating lockdown-induced European NO2changes using satellite and surface observations and air quality models","type":"article-journal","volume":"21"},"uris":["http://www.mendeley.com/documents/?uuid=1e1f1912-12ef-4031-bd31-edcf6eef913e"]},{"id":"ITEM-4","itemData":{"DOI":"10.1029/2020GL087978","ISSN":"19448007","abstract":"Spaceborne NO2 column observations from two high-resolution instruments, Tropospheric Monitoring Instrument (TROPOMI) on board Sentinel-5 Precursor and Ozone Monitoring Instrument (OMI) on Aura, reveal unprecedented NO2 decreases over China, South Korea, western Europe, and the United States as a result of public health measures enforced to contain the coronavirus disease outbreak (Covid-19) in January–April 2020. The average NO2 column drop over all Chinese cities amounts to −40% relative to the same period in 2019 and reaches up to a factor of ~2 at heavily hit cities, for example, Wuhan, Jinan, while the decreases in western Europe and the United States are also significant (−20% to −38%). In contrast with this, although Iran is also strongly affected by the disease, the observations do not show evidence of lower emissions, reflecting more limited health measures.","author":[{"dropping-particle":"","family":"Bauwens","given":"M.","non-dropping-particle":"","parse-names":false,"suffix":""},{"dropping-particle":"","family":"Compernolle","given":"S.","non-dropping-particle":"","parse-names":false,"suffix":""},{"dropping-particle":"","family":"Stavrakou","given":"T.","non-dropping-particle":"","parse-names":false,"suffix":""},{"dropping-particle":"","family":"Müller","given":"J. F.","non-dropping-particle":"","parse-names":false,"suffix":""},{"dropping-particle":"","family":"Gent","given":"J.","non-dropping-particle":"van","parse-names":false,"suffix":""},{"dropping-particle":"","family":"Eskes","given":"H.","non-dropping-particle":"","parse-names":false,"suffix":""},{"dropping-particle":"","family":"Levelt","given":"P. F.","non-dropping-particle":"","parse-names":false,"suffix":""},{"dropping-particle":"","family":"A","given":"R.","non-dropping-particle":"van der","parse-names":false,"suffix":""},{"dropping-particle":"","family":"Veefkind","given":"J. P.","non-dropping-particle":"","parse-names":false,"suffix":""},{"dropping-particle":"","family":"Vlietinck","given":"J.","non-dropping-particle":"","parse-names":false,"suffix":""},{"dropping-particle":"","family":"Yu","given":"H.","non-dropping-particle":"","parse-names":false,"suffix":""},{"dropping-particle":"","family":"Zehner","given":"C.","non-dropping-particle":"","parse-names":false,"suffix":""}],"container-title":"Geophysical Research Letters","id":"ITEM-4","issue":"11","issued":{"date-parts":[["2020"]]},"page":"1-9","title":"Impact of Coronavirus Outbreak on NO2 Pollution Assessed Using TROPOMI and OMI Observations","type":"article-journal","volume":"47"},"uris":["http://www.mendeley.com/documents/?uuid=8e46ea67-02ac-4a48-8e26-1d37b5e615e5"]}],"mendeley":{"formattedCitation":"(Barré et al., 2021; Bauwens et al., 2020; Menut et al., 2020; Putaud et al., 2021)","plainTextFormattedCitation":"(Barré et al., 2021; Bauwens et al., 2020; Menut et al., 2020; Putaud et al., 2021)","previouslyFormattedCitation":"(Barré et al., 2021; Bauwens et al., 2020; Menut et al., 2020; Putaud et al., 2021)"},"properties":{"noteIndex":0},"schema":"https://github.com/citation-style-language/schema/raw/master/csl-citation.json"}</w:instrText>
      </w:r>
      <w:r w:rsidRPr="004F3E51">
        <w:rPr>
          <w:rFonts w:ascii="Times New Roman" w:hAnsi="Times New Roman" w:cs="Times New Roman"/>
          <w:sz w:val="24"/>
          <w:szCs w:val="24"/>
        </w:rPr>
        <w:fldChar w:fldCharType="separate"/>
      </w:r>
      <w:r w:rsidRPr="00594031">
        <w:rPr>
          <w:rFonts w:ascii="Times New Roman" w:hAnsi="Times New Roman" w:cs="Times New Roman"/>
          <w:noProof/>
          <w:sz w:val="24"/>
          <w:szCs w:val="24"/>
        </w:rPr>
        <w:t>(Barré et al., 2021; Bauwens et al., 2020; Menut et al., 2020; Putaud et al., 2021)</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However, the </w:t>
      </w:r>
      <w:r w:rsidRPr="004F3E51">
        <w:rPr>
          <w:rFonts w:ascii="Times New Roman" w:hAnsi="Times New Roman" w:cs="Times New Roman"/>
          <w:sz w:val="24"/>
          <w:szCs w:val="24"/>
        </w:rPr>
        <w:t xml:space="preserve">decline in particulate matter (PM) concentration </w:t>
      </w:r>
      <w:r>
        <w:rPr>
          <w:rFonts w:ascii="Times New Roman" w:hAnsi="Times New Roman" w:cs="Times New Roman"/>
          <w:sz w:val="24"/>
          <w:szCs w:val="24"/>
        </w:rPr>
        <w:t>was l</w:t>
      </w:r>
      <w:r w:rsidRPr="004F3E51">
        <w:rPr>
          <w:rFonts w:ascii="Times New Roman" w:hAnsi="Times New Roman" w:cs="Times New Roman"/>
          <w:sz w:val="24"/>
          <w:szCs w:val="24"/>
        </w:rPr>
        <w:t>ess pronounced</w:t>
      </w:r>
      <w:r>
        <w:rPr>
          <w:rFonts w:ascii="Times New Roman" w:hAnsi="Times New Roman" w:cs="Times New Roman"/>
          <w:sz w:val="24"/>
          <w:szCs w:val="24"/>
        </w:rPr>
        <w:t xml:space="preserve"> (by 5% to 15%) due to </w:t>
      </w:r>
      <w:r w:rsidRPr="004F3E51">
        <w:rPr>
          <w:rFonts w:ascii="Times New Roman" w:hAnsi="Times New Roman" w:cs="Times New Roman"/>
          <w:sz w:val="24"/>
          <w:szCs w:val="24"/>
        </w:rPr>
        <w:t xml:space="preserve">the complex chemical reactions </w:t>
      </w:r>
      <w:r>
        <w:rPr>
          <w:rFonts w:ascii="Times New Roman" w:hAnsi="Times New Roman" w:cs="Times New Roman"/>
          <w:sz w:val="24"/>
          <w:szCs w:val="24"/>
        </w:rPr>
        <w:t>leading to</w:t>
      </w:r>
      <w:r w:rsidRPr="004F3E51">
        <w:rPr>
          <w:rFonts w:ascii="Times New Roman" w:hAnsi="Times New Roman" w:cs="Times New Roman"/>
          <w:sz w:val="24"/>
          <w:szCs w:val="24"/>
        </w:rPr>
        <w:t xml:space="preserve"> PM formation, meteorological variability, </w:t>
      </w:r>
      <w:r>
        <w:rPr>
          <w:rFonts w:ascii="Times New Roman" w:hAnsi="Times New Roman" w:cs="Times New Roman"/>
          <w:sz w:val="24"/>
          <w:szCs w:val="24"/>
        </w:rPr>
        <w:t>unaffected ammonia (NH</w:t>
      </w:r>
      <w:r w:rsidRPr="00FA7919">
        <w:rPr>
          <w:rFonts w:ascii="Times New Roman" w:hAnsi="Times New Roman" w:cs="Times New Roman"/>
          <w:sz w:val="24"/>
          <w:szCs w:val="24"/>
          <w:vertAlign w:val="subscript"/>
        </w:rPr>
        <w:t>3</w:t>
      </w:r>
      <w:r>
        <w:rPr>
          <w:rFonts w:ascii="Times New Roman" w:hAnsi="Times New Roman" w:cs="Times New Roman"/>
          <w:sz w:val="24"/>
          <w:szCs w:val="24"/>
        </w:rPr>
        <w:t xml:space="preserve">) emissions from </w:t>
      </w:r>
      <w:r w:rsidRPr="004F3E51">
        <w:rPr>
          <w:rFonts w:ascii="Times New Roman" w:hAnsi="Times New Roman" w:cs="Times New Roman"/>
          <w:sz w:val="24"/>
          <w:szCs w:val="24"/>
        </w:rPr>
        <w:t>agricultur</w:t>
      </w:r>
      <w:r>
        <w:rPr>
          <w:rFonts w:ascii="Times New Roman" w:hAnsi="Times New Roman" w:cs="Times New Roman"/>
          <w:sz w:val="24"/>
          <w:szCs w:val="24"/>
        </w:rPr>
        <w:t>al</w:t>
      </w:r>
      <w:r w:rsidRPr="004F3E51">
        <w:rPr>
          <w:rFonts w:ascii="Times New Roman" w:hAnsi="Times New Roman" w:cs="Times New Roman"/>
          <w:sz w:val="24"/>
          <w:szCs w:val="24"/>
        </w:rPr>
        <w:t xml:space="preserve"> operations</w:t>
      </w:r>
      <w:r>
        <w:rPr>
          <w:rFonts w:ascii="Times New Roman" w:hAnsi="Times New Roman" w:cs="Times New Roman"/>
          <w:sz w:val="24"/>
          <w:szCs w:val="24"/>
        </w:rPr>
        <w:t>,</w:t>
      </w:r>
      <w:r w:rsidRPr="004F3E51">
        <w:rPr>
          <w:rFonts w:ascii="Times New Roman" w:hAnsi="Times New Roman" w:cs="Times New Roman"/>
          <w:sz w:val="24"/>
          <w:szCs w:val="24"/>
        </w:rPr>
        <w:t xml:space="preserve"> and increases in emission from domestic heating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{"citationItems":[{"id":"ITEM-1","itemData":{"DOI":"10.5194/acp-21-7597-2021","ISSN":"16807324","abstract":"The COVID-19 lockdown measures gradually implemented in Lombardy (northern Italy) from 23 February 2020 led to a downturn in several economic sectors with possible impacts on air quality. Several communications claimed in the first weeks of March 2020 that the mitigation in air pollution observed at that time was actually related to these lockdown measures without considering that seasonal variations in emissions and meteorology also influence air quality. To determine the specific impact of lockdown measures on air quality in northern Italy, we compared observations from the European Commission Atmospheric Observatory of Ispra (regional background) and from the regional environmental protection agency (ARPA) air monitoring stations in the Milan conurbation (urban background) with expected values for these observations using two different approaches. On the one hand, intensive aerosol variables determined from specific aerosol characterisation observations performed in Ispra were compared to their 3-year averages. On the other hand, ground-level measured concentrations of atmospheric pollutants (NOspan classCombining double low line\"inline-formula\"2/span, PMspan classCombining double low line\"inline-formula\"10/span, Ospan classCombining double low line\"inline-formula\"3/span, NO, SOspan classCombining double low line\"inline-formula\"2/span) were compared to expected concentrations derived from the Copernicus Atmosphere Monitoring Service Regional (CAMS) ensemble model forecasts, which did not account for lockdown measures. From these comparisons, we show that NOspan classCombining double low line\"inline-formula\"2/span concentrations decreased as a consequence of the lockdown by span classCombining double low line\"inline-formula\"-30/span % and span classCombining double low line\"inline-formula\"-40/span % on average at the urban and regional background sites, respectively. Unlike NOspan classCombining double low line\"inline-formula\"2/span, PMspan classCombining double low line\"inline-formula\"10/span concentrations were not significantly affected by lockdown measures. This could be due to any decreases in PMspan classCombining double low line\"inline-formula\"10/span (and PMspan classCombining double low line\"inline-formula\"10/span precursors) emissions from traffic being compensated for by increases in emissions from domestic heating and/or from changes in the secondary aerosol formation regime resulting from the lockdown measures. The implementation of the l…","author":[{"dropping-particle":"","family":"Putaud","given":"Jean Philippe","non-dropping-particle":"","parse-names":false,"suffix":""},{"dropping-particle":"","family":"Pozzoli","given":"Luca","non-dropping-particle":"","parse-names":false,"suffix":""},{"dropping-particle":"","family":"Pisoni","given":"Enrico","non-dropping-particle":"","parse-names":false,"suffix":""},{"dropping-particle":"","family":"Martins Dos Santos","given":"Sebastiao","non-dropping-particle":"","parse-names":false,"suffix":""},{"dropping-particle":"","family":"Lagler","given":"Friedrich","non-dropping-particle":"","parse-names":false,"suffix":""},{"dropping-particle":"","family":"Lanzani","given":"Guido","non-dropping-particle":"","parse-names":false,"suffix":""},{"dropping-particle":"","family":"Dal Santo","given":"Umberto","non-dropping-particle":"","parse-names":false,"suffix":""},{"dropping-particle":"","family":"Colette","given":"Augustin","non-dropping-particle":"","parse-names":false,"suffix":""}],"container-title":"Atmospheric Chemistry and Physics","id":"ITEM-1","issue":"10","issued":{"date-parts":[["2021"]]},"page":"7597-7609","title":"Impacts of the COVID-19 lockdown on air pollution at regional and urban background sites in northern Italy","type":"article-journal","volume":"21"},"uris":["http://www.mendeley.com/documents/?uuid=a7b0ad1b-18aa-4a2d-bdc6-49322dde6f50"]},{"id":"ITEM-2","itemData":{"DOI":"10.1073/pnas.2006853117","ISSN":"10916490","PMID":"32723816","abstract":"The lockdown response to coronavirus disease 2019 (COVID-19) has caused an unprecedented reduction in global economic and transport activity. We test the hypothesis that this has reduced tropospheric and ground-level air pollution concentrations, using satellite data and a network of &gt;10,000 air quality stations. After accounting for the effects of meteorological variability, we find declines in the population-weighted concentration of ground-level nitrogen dioxide (NO2: 60% with 95% CI 48 to 72%), and fine particulate matter (PM2.5: 31%; 95% CI: 17 to 45%), with marginal increases in ozone (O3: 4%; 95% CI: -2 to 10%) in 34 countries during lockdown dates up until 15 May. Except for ozone, satellite measurements of the troposphere indicate much smaller reductions, highlighting the spatial variability of pollutant anomalies attributable to complex NOx chemistry and long-distance transport of fine particulate matter with a diameter less than 2.5 μm (PM2.5). By leveraging Google and Apple mobility data, we find empirical evidence for a link between global vehicle transportation declines and the reduction of ambient NO2 exposure. While the state of global lockdown is not sustainable, these findings allude to the potential for mitigating public health risk by reducing business as usual air pollutant emissions from economic activities.","author":[{"dropping-particle":"","family":"Venter","given":"Zander S.","non-dropping-particle":"","parse-names":false,"suffix":""},{"dropping-particle":"","family":"Aunan","given":"Kristin","non-dropping-particle":"","parse-names":false,"suffix":""},{"dropping-particle":"","family":"Chowdhury","given":"Sourangsu","non-dropping-particle":"","parse-names":false,"suffix":""},{"dropping-particle":"","family":"Lelieveld","given":"Jos","non-dropping-particle":"","parse-names":false,"suffix":""}],"container-title":"Proceedings of the National Academy of Sciences of the United States of America","id":"ITEM-2","issue":"32","issued":{"date-parts":[["2020"]]},"page":"18984-18990","title":"COVID-19 lockdowns cause global air pollution declines","type":"article-journal","volume":"117"},"uris":["http://www.mendeley.com/documents/?uuid=aa83c9b7-572e-47c9-b6b7-41a66d2654a3"]},{"id":"ITEM-3","itemData":{"DOI":"10.1016/j.scitotenv.2020.140426","ISSN":"18791026","PMID":"32593893","abstract":"Recent studies based on observations have shown the impact of lockdown measures taken in various European countries to contain the Covid-19 pandemic on air quality. However, these studies are often limited to compare situations without and with lockdown measures, which correspond to different time periods and then under different meteorological conditions. We propose a modelling study with the WRF-CHIMERE modelling suite for March 2020, an approach allowing to compare atmospheric composition with and without lockdown measures without the biases of meteorological conditions. This study shows that the lockdown effect on atmospheric composition, in particular through massive traffic reductions, has been important for several short-lived atmospheric trace species, with a large reduction in NO2 concentrations, a lower reduction in Particulate Matter (PM) concentrations and a mitigated effect on ozone concentrations due to non-linear chemical effects.","author":[{"dropping-particle":"","family":"Menut","given":"Laurent","non-dropping-particle":"","parse-names":false,"suffix":""},{"dropping-particle":"","family":"Bessagnet","given":"Bertrand","non-dropping-particle":"","parse-names":false,"suffix":""},{"dropping-particle":"","family":"Siour","given":"Guillaume","non-dropping-particle":"","parse-names":false,"suffix":""},{"dropping-particle":"","family":"Mailler","given":"Sylvain","non-dropping-particle":"","parse-names":false,"suffix":""},{"dropping-particle":"","family":"Pennel","given":"Romain","non-dropping-particle":"","parse-names":false,"suffix":""},{"dropping-particle":"","family":"Cholakian","given":"Arineh","non-dropping-particle":"","parse-names":false,"suffix":""}],"container-title":"Science of the Total Environment","id":"ITEM-3","issued":{"date-parts":[["2020"]]},"page":"140426","publisher":"The Authors","title":"Impact of lockdown measures to combat Covid-19 on air quality over western Europe","type":"article-journal","volume":"741"},"uris":["http://www.mendeley.com/documents/?uuid=67c51c11-ef9c-4d73-b6bd-795b84f937ef"]}],"mendeley":{"formattedCitation":"(Menut et al., 2020; Putaud et al., 2021; Venter, Aunan, Chowdhury, &amp; Lelieveld, 2020)","manualFormatting":"(Menut et al., 2020; Venter, Aunan, Chowdhury, &amp; Lelieveld, 2020)","plainTextFormattedCitation":"(Menut et al., 2020; Putaud et al., 2021; Venter, Aunan, Chowdhury, &amp; Lelieveld, 2020)","previouslyFormattedCitation":"(Menut et al., 2020; Putaud et al., 2021; Venter, Aunan, Chowdhury, &amp; Lelieveld, 2020)"},"properties":{"noteIndex":0},"schema":"https://github.com/citation-style-language/schema/raw/master/csl-citation.json"}</w:instrText>
      </w:r>
      <w:r w:rsidRPr="004F3E51">
        <w:rPr>
          <w:rFonts w:ascii="Times New Roman" w:hAnsi="Times New Roman" w:cs="Times New Roman"/>
          <w:sz w:val="24"/>
          <w:szCs w:val="24"/>
        </w:rPr>
        <w:fldChar w:fldCharType="separate"/>
      </w:r>
      <w:r w:rsidRPr="005C695E">
        <w:rPr>
          <w:rFonts w:ascii="Times New Roman" w:hAnsi="Times New Roman" w:cs="Times New Roman"/>
          <w:noProof/>
          <w:sz w:val="24"/>
          <w:szCs w:val="24"/>
        </w:rPr>
        <w:t>(Menut et al., 2020; Venter, Aunan, Chowdhury, &amp; Lelieveld, 2020)</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The impact of lockdown on ozone (O</w:t>
      </w:r>
      <w:r w:rsidRPr="004F3E51">
        <w:rPr>
          <w:rFonts w:ascii="Times New Roman" w:hAnsi="Times New Roman" w:cs="Times New Roman"/>
          <w:sz w:val="24"/>
          <w:szCs w:val="24"/>
          <w:vertAlign w:val="subscript"/>
        </w:rPr>
        <w:t>3</w:t>
      </w:r>
      <w:r w:rsidRPr="004F3E51">
        <w:rPr>
          <w:rFonts w:ascii="Times New Roman" w:hAnsi="Times New Roman" w:cs="Times New Roman"/>
          <w:sz w:val="24"/>
          <w:szCs w:val="24"/>
        </w:rPr>
        <w:t>) concentration was</w:t>
      </w:r>
      <w:r>
        <w:rPr>
          <w:rFonts w:ascii="Times New Roman" w:hAnsi="Times New Roman" w:cs="Times New Roman"/>
          <w:sz w:val="24"/>
          <w:szCs w:val="24"/>
        </w:rPr>
        <w:t xml:space="preserve"> </w:t>
      </w:r>
      <w:r>
        <w:rPr>
          <w:rFonts w:ascii="Times New Roman" w:hAnsi="Times New Roman" w:cs="Times New Roman"/>
          <w:sz w:val="24"/>
          <w:szCs w:val="24"/>
        </w:rPr>
        <w:lastRenderedPageBreak/>
        <w:t>mixed</w:t>
      </w:r>
      <w:r w:rsidRPr="004F3E51">
        <w:rPr>
          <w:rFonts w:ascii="Times New Roman" w:hAnsi="Times New Roman" w:cs="Times New Roman"/>
          <w:sz w:val="24"/>
          <w:szCs w:val="24"/>
        </w:rPr>
        <w:t>, with most urban areas experienc</w:t>
      </w:r>
      <w:r>
        <w:rPr>
          <w:rFonts w:ascii="Times New Roman" w:hAnsi="Times New Roman" w:cs="Times New Roman"/>
          <w:sz w:val="24"/>
          <w:szCs w:val="24"/>
        </w:rPr>
        <w:t>ing</w:t>
      </w:r>
      <w:r w:rsidRPr="004F3E51">
        <w:rPr>
          <w:rFonts w:ascii="Times New Roman" w:hAnsi="Times New Roman" w:cs="Times New Roman"/>
          <w:sz w:val="24"/>
          <w:szCs w:val="24"/>
        </w:rPr>
        <w:t xml:space="preserve"> higher-than-usual O</w:t>
      </w:r>
      <w:r w:rsidRPr="004F3E51">
        <w:rPr>
          <w:rFonts w:ascii="Times New Roman" w:hAnsi="Times New Roman" w:cs="Times New Roman"/>
          <w:sz w:val="24"/>
          <w:szCs w:val="24"/>
          <w:vertAlign w:val="subscript"/>
        </w:rPr>
        <w:t>3</w:t>
      </w:r>
      <w:r w:rsidRPr="004F3E51">
        <w:rPr>
          <w:rFonts w:ascii="Times New Roman" w:hAnsi="Times New Roman" w:cs="Times New Roman"/>
          <w:sz w:val="24"/>
          <w:szCs w:val="24"/>
        </w:rPr>
        <w:t xml:space="preserve"> concentration</w:t>
      </w:r>
      <w:r>
        <w:rPr>
          <w:rFonts w:ascii="Times New Roman" w:hAnsi="Times New Roman" w:cs="Times New Roman"/>
          <w:sz w:val="24"/>
          <w:szCs w:val="24"/>
        </w:rPr>
        <w:t xml:space="preserve"> due to </w:t>
      </w:r>
      <w:r w:rsidRPr="004F3E51">
        <w:rPr>
          <w:rFonts w:ascii="Times New Roman" w:hAnsi="Times New Roman" w:cs="Times New Roman"/>
          <w:sz w:val="24"/>
          <w:szCs w:val="24"/>
        </w:rPr>
        <w:t>reduced NO</w:t>
      </w:r>
      <w:r w:rsidRPr="004F3E51">
        <w:rPr>
          <w:rFonts w:ascii="Times New Roman" w:hAnsi="Times New Roman" w:cs="Times New Roman"/>
          <w:sz w:val="24"/>
          <w:szCs w:val="24"/>
          <w:vertAlign w:val="subscript"/>
        </w:rPr>
        <w:t xml:space="preserve">x </w:t>
      </w:r>
      <w:r w:rsidRPr="004F3E51">
        <w:rPr>
          <w:rFonts w:ascii="Times New Roman" w:hAnsi="Times New Roman" w:cs="Times New Roman"/>
          <w:sz w:val="24"/>
          <w:szCs w:val="24"/>
        </w:rPr>
        <w:t>titration</w:t>
      </w:r>
      <w:r>
        <w:rPr>
          <w:rFonts w:ascii="Times New Roman" w:hAnsi="Times New Roman" w:cs="Times New Roman"/>
          <w:sz w:val="24"/>
          <w:szCs w:val="24"/>
        </w:rPr>
        <w:t>,</w:t>
      </w:r>
      <w:r w:rsidRPr="004F3E51">
        <w:rPr>
          <w:rFonts w:ascii="Times New Roman" w:hAnsi="Times New Roman" w:cs="Times New Roman"/>
          <w:sz w:val="24"/>
          <w:szCs w:val="24"/>
        </w:rPr>
        <w:t xml:space="preserve"> while a slight decrease</w:t>
      </w:r>
      <w:r>
        <w:rPr>
          <w:rFonts w:ascii="Times New Roman" w:hAnsi="Times New Roman" w:cs="Times New Roman"/>
          <w:sz w:val="24"/>
          <w:szCs w:val="24"/>
        </w:rPr>
        <w:t xml:space="preserve"> or increase</w:t>
      </w:r>
      <w:r w:rsidRPr="004F3E51">
        <w:rPr>
          <w:rFonts w:ascii="Times New Roman" w:hAnsi="Times New Roman" w:cs="Times New Roman"/>
          <w:sz w:val="24"/>
          <w:szCs w:val="24"/>
        </w:rPr>
        <w:t xml:space="preserve"> in O</w:t>
      </w:r>
      <w:r w:rsidRPr="004F3E51">
        <w:rPr>
          <w:rFonts w:ascii="Times New Roman" w:hAnsi="Times New Roman" w:cs="Times New Roman"/>
          <w:sz w:val="24"/>
          <w:szCs w:val="24"/>
          <w:vertAlign w:val="subscript"/>
        </w:rPr>
        <w:t>3</w:t>
      </w:r>
      <w:r w:rsidRPr="004F3E51">
        <w:rPr>
          <w:rFonts w:ascii="Times New Roman" w:hAnsi="Times New Roman" w:cs="Times New Roman"/>
          <w:sz w:val="24"/>
          <w:szCs w:val="24"/>
        </w:rPr>
        <w:t xml:space="preserve"> was observed in rural areas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{"citationItems":[{"id":"ITEM-1","itemData":{"DOI":"10.1016/j.scitotenv.2020.140426","ISSN":"18791026","PMID":"32593893","abstract":"Recent studies based on observations have shown the impact of lockdown measures taken in various European countries to contain the Covid-19 pandemic on air quality. However, these studies are often limited to compare situations without and with lockdown measures, which correspond to different time periods and then under different meteorological conditions. We propose a modelling study with the WRF-CHIMERE modelling suite for March 2020, an approach allowing to compare atmospheric composition with and without lockdown measures without the biases of meteorological conditions. This study shows that the lockdown effect on atmospheric composition, in particular through massive traffic reductions, has been important for several short-lived atmospheric trace species, with a large reduction in NO2 concentrations, a lower reduction in Particulate Matter (PM) concentrations and a mitigated effect on ozone concentrations due to non-linear chemical effects.","author":[{"dropping-particle":"","family":"Menut","given":"Laurent","non-dropping-particle":"","parse-names":false,"suffix":""},{"dropping-particle":"","family":"Bessagnet","given":"Bertrand","non-dropping-particle":"","parse-names":false,"suffix":""},{"dropping-particle":"","family":"Siour","given":"Guillaume","non-dropping-particle":"","parse-names":false,"suffix":""},{"dropping-particle":"","family":"Mailler","given":"Sylvain","non-dropping-particle":"","parse-names":false,"suffix":""},{"dropping-particle":"","family":"Pennel","given":"Romain","non-dropping-particle":"","parse-names":false,"suffix":""},{"dropping-particle":"","family":"Cholakian","given":"Arineh","non-dropping-particle":"","parse-names":false,"suffix":""}],"container-title":"Science of the Total Environment","id":"ITEM-1","issued":{"date-parts":[["2020"]]},"page":"140426","publisher":"The Authors","title":"Impact of lockdown measures to combat Covid-19 on air quality over western Europe","type":"article-journal","volume":"741"},"uris":["http://www.mendeley.com/documents/?uuid=67c51c11-ef9c-4d73-b6bd-795b84f937ef"]},{"id":"ITEM-2","itemData":{"DOI":"10.1016/j.scitotenv.2020.141322","ISSN":"18791026","PMID":"32781318","abstract":"This paper analyses the impact of the control measures during the COVID-19 lockdown in Europe (15 March–30 April 2020) on 1-h daily maximum nitrogen dioxide (NO2) and maximum daily 8-h running average ozone (MDA8 O3) observations obtained from the European Environment Agency's air quality database (AirBase). Daily maximum NO2 decreased consistently over the whole continent, with relative reductions ranging from 5% to 55% with respect to the same period in 2015–2019 for 80% of the sites considered (10th – 90th percentiles). However, MDA8 O3 concentrations showed a different pattern, decreasing over Iberia and increasing elsewhere. In particular, a large region from northwestern to central Europe experienced increases of 10–22% at urban background stations, reaching typical values of the summer season. The analysis of the expected NO2 and O3 concentrations in the absence of the lockdown, using generalised additive models fed by reanalysis meteorological data, shows that the low NO2 concentrations were mostly attributed to the emission reductions while O3 anomalies were dominated by the meteorology. The relevance of each meteorological variable depends on the location. The positive O3 anomalies in northwestern and central Europe were mostly associated with elevated temperatures, low specific humidity and enhanced solar radiation. This pattern could be an analogue to study the limits of pollution control policies under climate change scenarios. On the other hand, the O3 reduction in Iberia is mostly attributable to the low solar radiation and high specific humidity, although the reduced zonal wind also played a role in the proximity of the Iberian Mediterranean coast.","author":[{"dropping-particle":"","family":"Ordóñez","given":"Carlos","non-dropping-particle":"","parse-names":false,"suffix":""},{"dropping-particle":"","family":"Garrido-Perez","given":"Jose M.","non-dropping-particle":"","parse-names":false,"suffix":""},{"dropping-particle":"","family":"García-Herrera","given":"Ricardo","non-dropping-particle":"","parse-names":false,"suffix":""}],"container-title":"Science of the Total Environment","id":"ITEM-2","issue":"December 2019","issued":{"date-parts":[["2020"]]},"page":"141322","publisher":"Elsevier B.V.","title":"Early spring near-surface ozone in Europe during the COVID-19 shutdown: Meteorological effects outweigh emission changes","type":"article-journal","volume":"747"},"uris":["http://www.mendeley.com/documents/?uuid=053eea17-395b-45e4-b121-266c1858d8d7"]}],"mendeley":{"formattedCitation":"(Menut et al., 2020; Ordóñez, Garrido-Perez, &amp; García-Herrera, 2020)","plainTextFormattedCitation":"(Menut et al., 2020; Ordóñez, Garrido-Perez, &amp; García-Herrera, 2020)","previouslyFormattedCitation":"(Menut et al., 2020; Ordóñez, Garrido-Perez, &amp; García-Herrera, 2020)"},"properties":{"noteIndex":0},"schema":"https://github.com/citation-style-language/schema/raw/master/csl-citation.json"}</w:instrText>
      </w:r>
      <w:r w:rsidRPr="004F3E51">
        <w:rPr>
          <w:rFonts w:ascii="Times New Roman" w:hAnsi="Times New Roman" w:cs="Times New Roman"/>
          <w:sz w:val="24"/>
          <w:szCs w:val="24"/>
        </w:rPr>
        <w:fldChar w:fldCharType="separate"/>
      </w:r>
      <w:r w:rsidRPr="005C695E">
        <w:rPr>
          <w:rFonts w:ascii="Times New Roman" w:hAnsi="Times New Roman" w:cs="Times New Roman"/>
          <w:noProof/>
          <w:sz w:val="24"/>
          <w:szCs w:val="24"/>
        </w:rPr>
        <w:t>(Menut et al., 2020; Ordóñez, Garrido-Perez, &amp; García-Herrera, 2020)</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The regional variation in </w:t>
      </w:r>
      <w:r w:rsidRPr="004F3E51">
        <w:rPr>
          <w:rFonts w:ascii="Times New Roman" w:hAnsi="Times New Roman" w:cs="Times New Roman"/>
          <w:sz w:val="24"/>
          <w:szCs w:val="24"/>
        </w:rPr>
        <w:t xml:space="preserve">meteorological </w:t>
      </w:r>
      <w:r>
        <w:rPr>
          <w:rFonts w:ascii="Times New Roman" w:hAnsi="Times New Roman" w:cs="Times New Roman"/>
          <w:sz w:val="24"/>
          <w:szCs w:val="24"/>
        </w:rPr>
        <w:t xml:space="preserve">conditions </w:t>
      </w:r>
      <w:r w:rsidRPr="004F3E51">
        <w:rPr>
          <w:rFonts w:ascii="Times New Roman" w:hAnsi="Times New Roman" w:cs="Times New Roman"/>
          <w:sz w:val="24"/>
          <w:szCs w:val="24"/>
        </w:rPr>
        <w:t>dominated the O</w:t>
      </w:r>
      <w:r w:rsidRPr="004F3E51">
        <w:rPr>
          <w:rFonts w:ascii="Times New Roman" w:hAnsi="Times New Roman" w:cs="Times New Roman"/>
          <w:sz w:val="24"/>
          <w:szCs w:val="24"/>
          <w:vertAlign w:val="subscript"/>
        </w:rPr>
        <w:t xml:space="preserve">3 </w:t>
      </w:r>
      <w:r w:rsidRPr="004F3E51">
        <w:rPr>
          <w:rFonts w:ascii="Times New Roman" w:hAnsi="Times New Roman" w:cs="Times New Roman"/>
          <w:sz w:val="24"/>
          <w:szCs w:val="24"/>
        </w:rPr>
        <w:t>anomaly</w:t>
      </w:r>
      <w:r>
        <w:rPr>
          <w:rFonts w:ascii="Times New Roman" w:hAnsi="Times New Roman" w:cs="Times New Roman"/>
          <w:sz w:val="24"/>
          <w:szCs w:val="24"/>
        </w:rPr>
        <w:t xml:space="preserve">, with decreases in </w:t>
      </w:r>
      <w:r w:rsidRPr="004F3E51">
        <w:rPr>
          <w:rFonts w:ascii="Times New Roman" w:hAnsi="Times New Roman" w:cs="Times New Roman"/>
          <w:sz w:val="24"/>
          <w:szCs w:val="24"/>
        </w:rPr>
        <w:t>O</w:t>
      </w:r>
      <w:r w:rsidRPr="004F3E51">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4F3E51">
        <w:rPr>
          <w:rFonts w:ascii="Times New Roman" w:hAnsi="Times New Roman" w:cs="Times New Roman"/>
          <w:sz w:val="24"/>
          <w:szCs w:val="24"/>
        </w:rPr>
        <w:t>concentration in the Iberian Peninsula, southern and western France, central Italy, and some locations of northern Europe</w:t>
      </w:r>
      <w:r>
        <w:rPr>
          <w:rFonts w:ascii="Times New Roman" w:hAnsi="Times New Roman" w:cs="Times New Roman"/>
          <w:sz w:val="24"/>
          <w:szCs w:val="24"/>
        </w:rPr>
        <w:t>,</w:t>
      </w:r>
      <w:r w:rsidRPr="004F3E51">
        <w:rPr>
          <w:rFonts w:ascii="Times New Roman" w:hAnsi="Times New Roman" w:cs="Times New Roman"/>
          <w:sz w:val="24"/>
          <w:szCs w:val="24"/>
        </w:rPr>
        <w:t xml:space="preserve"> but increase</w:t>
      </w:r>
      <w:r>
        <w:rPr>
          <w:rFonts w:ascii="Times New Roman" w:hAnsi="Times New Roman" w:cs="Times New Roman"/>
          <w:sz w:val="24"/>
          <w:szCs w:val="24"/>
        </w:rPr>
        <w:t>s in other areas</w:t>
      </w:r>
      <w:r w:rsidRPr="004F3E51">
        <w:rPr>
          <w:rFonts w:ascii="Times New Roman" w:hAnsi="Times New Roman" w:cs="Times New Roman"/>
          <w:sz w:val="24"/>
          <w:szCs w:val="24"/>
        </w:rPr>
        <w:t xml:space="preserve">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{"citationItems":[{"id":"ITEM-1","itemData":{"DOI":"10.1016/j.scitotenv.2020.141322","ISSN":"18791026","PMID":"32781318","abstract":"This paper analyses the impact of the control measures during the COVID-19 lockdown in Europe (15 March–30 April 2020) on 1-h daily maximum nitrogen dioxide (NO2) and maximum daily 8-h running average ozone (MDA8 O3) observations obtained from the European Environment Agency's air quality database (AirBase). Daily maximum NO2 decreased consistently over the whole continent, with relative reductions ranging from 5% to 55% with respect to the same period in 2015–2019 for 80% of the sites considered (10th – 90th percentiles). However, MDA8 O3 concentrations showed a different pattern, decreasing over Iberia and increasing elsewhere. In particular, a large region from northwestern to central Europe experienced increases of 10–22% at urban background stations, reaching typical values of the summer season. The analysis of the expected NO2 and O3 concentrations in the absence of the lockdown, using generalised additive models fed by reanalysis meteorological data, shows that the low NO2 concentrations were mostly attributed to the emission reductions while O3 anomalies were dominated by the meteorology. The relevance of each meteorological variable depends on the location. The positive O3 anomalies in northwestern and central Europe were mostly associated with elevated temperatures, low specific humidity and enhanced solar radiation. This pattern could be an analogue to study the limits of pollution control policies under climate change scenarios. On the other hand, the O3 reduction in Iberia is mostly attributable to the low solar radiation and high specific humidity, although the reduced zonal wind also played a role in the proximity of the Iberian Mediterranean coast.","author":[{"dropping-particle":"","family":"Ordóñez","given":"Carlos","non-dropping-particle":"","parse-names":false,"suffix":""},{"dropping-particle":"","family":"Garrido-Perez","given":"Jose M.","non-dropping-particle":"","parse-names":false,"suffix":""},{"dropping-particle":"","family":"García-Herrera","given":"Ricardo","non-dropping-particle":"","parse-names":false,"suffix":""}],"container-title":"Science of the Total Environment","id":"ITEM-1","issue":"December 2019","issued":{"date-parts":[["2020"]]},"page":"141322","publisher":"Elsevier B.V.","title":"Early spring near-surface ozone in Europe during the COVID-19 shutdown: Meteorological effects outweigh emission changes","type":"article-journal","volume":"747"},"uris":["http://www.mendeley.com/documents/?uuid=053eea17-395b-45e4-b121-266c1858d8d7"]}],"mendeley":{"formattedCitation":"(Ordóñez et al., 2020)","plainTextFormattedCitation":"(Ordóñez et al., 2020)","previouslyFormattedCitation":"(Ordóñez et al., 2020)"},"properties":{"noteIndex":0},"schema":"https://github.com/citation-style-language/schema/raw/master/csl-citation.json"}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(Ordóñez et al., 2020)</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w:t>
      </w:r>
    </w:p>
    <w:p w14:paraId="32B43020" w14:textId="77777777" w:rsidR="00103AF5" w:rsidRDefault="00103AF5" w:rsidP="00103AF5">
      <w:pPr>
        <w:snapToGrid w:val="0"/>
        <w:spacing w:after="0" w:line="480" w:lineRule="auto"/>
        <w:ind w:firstLine="720"/>
        <w:rPr>
          <w:rFonts w:ascii="Times New Roman" w:hAnsi="Times New Roman" w:cs="Times New Roman"/>
          <w:sz w:val="24"/>
          <w:szCs w:val="24"/>
        </w:rPr>
      </w:pPr>
      <w:r w:rsidRPr="004F3E51">
        <w:rPr>
          <w:rFonts w:ascii="Times New Roman" w:hAnsi="Times New Roman" w:cs="Times New Roman"/>
          <w:sz w:val="24"/>
          <w:szCs w:val="24"/>
        </w:rPr>
        <w:t xml:space="preserve">Atmospheric pollutants can </w:t>
      </w:r>
      <w:r>
        <w:rPr>
          <w:rFonts w:ascii="Times New Roman" w:hAnsi="Times New Roman" w:cs="Times New Roman"/>
          <w:sz w:val="24"/>
          <w:szCs w:val="24"/>
        </w:rPr>
        <w:t xml:space="preserve">have varying effects on </w:t>
      </w:r>
      <w:r w:rsidRPr="004F3E51">
        <w:rPr>
          <w:rFonts w:ascii="Times New Roman" w:hAnsi="Times New Roman" w:cs="Times New Roman"/>
          <w:sz w:val="24"/>
          <w:szCs w:val="24"/>
        </w:rPr>
        <w:t>plant productivity</w:t>
      </w:r>
      <w:r>
        <w:rPr>
          <w:rFonts w:ascii="Times New Roman" w:hAnsi="Times New Roman" w:cs="Times New Roman"/>
          <w:sz w:val="24"/>
          <w:szCs w:val="24"/>
        </w:rPr>
        <w:t xml:space="preserve">. While </w:t>
      </w:r>
      <w:r w:rsidRPr="004F3E51">
        <w:rPr>
          <w:rFonts w:ascii="Times New Roman" w:hAnsi="Times New Roman" w:cs="Times New Roman"/>
          <w:sz w:val="24"/>
          <w:szCs w:val="24"/>
        </w:rPr>
        <w:t xml:space="preserve">PM </w:t>
      </w:r>
      <w:r>
        <w:rPr>
          <w:rFonts w:ascii="Times New Roman" w:hAnsi="Times New Roman" w:cs="Times New Roman"/>
          <w:sz w:val="24"/>
          <w:szCs w:val="24"/>
        </w:rPr>
        <w:t xml:space="preserve">can increase gross primary production (GPP) by allowing more diffuse radiation to penetrate plant canopies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{"citationItems":[{"id":"ITEM-1","itemData":{"DOI":"10.1038/nature07949","ISSN":"00280836","PMID":"19396143","abstract":"Plant photosynthesis tends to increase with irradiance. However, recent theoretical and observational studies have demonstrated that photosynthesis is also more efficient under diffuse light conditions. Changes in cloud cover or atmospheric aerosol loadings, arising from either volcanic or anthropogenic emissions, alter both the total photosynthetically active radiation reaching the surface and the fraction of this radiation that is diffuse, with uncertain overall effects on global plant productivity and the land carbon sink. Here we estimate the impact of variations in diffuse fraction on the land carbon sink using a global model modified to account for the effects of variations in both direct and diffuse radiation on canopy photosynthesis. We estimate that variations in diffuse fraction, associated largely with the 'global dimming' period, enhanced the land carbon sink by approximately one-quarter between 1960 and 1999. However, under a climate mitigation scenario for the twenty-first century in which sulphate aerosols decline before atmospheric CO 2 is stabilized, this 'diffuse-radiation' fertilization effect declines rapidly to near zero by the end of the twenty-first century. © 2009 Macmillan Publishers Limited. All rights reserved.","author":[{"dropping-particle":"","family":"Mercado","given":"Lina M.","non-dropping-particle":"","parse-names":false,"suffix":""},{"dropping-particle":"","family":"Bellouin","given":"Nicolas","non-dropping-particle":"","parse-names":false,"suffix":""},{"dropping-particle":"","family":"Sitch","given":"Stephen","non-dropping-particle":"","parse-names":false,"suffix":""},{"dropping-particle":"","family":"Boucher","given":"Olivier","non-dropping-particle":"","parse-names":false,"suffix":""},{"dropping-particle":"","family":"Huntingford","given":"Chris","non-dropping-particle":"","parse-names":false,"suffix":""},{"dropping-particle":"","family":"Wild","given":"Martin","non-dropping-particle":"","parse-names":false,"suffix":""},{"dropping-particle":"","family":"Cox","given":"Peter M.","non-dropping-particle":"","parse-names":false,"suffix":""}],"container-title":"Nature","id":"ITEM-1","issue":"7241","issued":{"date-parts":[["2009"]]},"page":"1014-1017","publisher":"Nature Publishing Group","title":"Impact of changes in diffuse radiation on the global land carbon sink","type":"article-journal","volume":"458"},"uris":["http://www.mendeley.com/documents/?uuid=b9044277-eac7-41c2-bd62-b40ef00620b8"]},{"id":"ITEM-2","itemData":{"DOI":"10.1007/s004420100760","ISBN":"6126125509","ISSN":"00298549","abstract":"The volume of shade within vegetation canopies is reduced by more than an order of magnitude on cloudy and/or very hazy days compared to clear sunny days because of an increase in the diffuse fraction of the solar radiance. Here we show that vegetation is directly sensitive to changes in the diffuse fraction and we conclude that the productivity and structure of vegetation is strongly influenced by clouds and other atmospheric particles. We also propose that the unexpected decline in atmospheric [CO2] which was observed following the Mt. Pinatubo eruption was in part caused by increased vegetation uptake following an anomalous enhancement of the diffuse fraction by volcanic aerosols that would have reduced the volume of shade within vegetation canopies. These results have important implications for both understanding and modelling the productivity and structure of terrestrial vegetation as well as the global carbon cycle and the climate system.","author":[{"dropping-particle":"","family":"Roderick","given":"Michael L.","non-dropping-particle":"","parse-names":false,"suffix":""},{"dropping-particle":"","family":"Farquhar","given":"Graham D.","non-dropping-particle":"","parse-names":false,"suffix":""},{"dropping-particle":"","family":"Berry","given":"Sandra L.","non-dropping-particle":"","parse-names":false,"suffix":""},{"dropping-particle":"","family":"Noble","given":"Ian R.","non-dropping-particle":"","parse-names":false,"suffix":""}],"container-title":"Oecologia","id":"ITEM-2","issue":"1","issued":{"date-parts":[["2001"]]},"page":"21-30","title":"On the direct effect of clouds and atmospheric particles on the productivity and structure of vegetation","type":"article-journal","volume":"129"},"uris":["http://www.mendeley.com/documents/?uuid=8a113bd7-7fc7-4fad-baa9-30d21489028c"]},{"id":"ITEM-3","itemData":{"DOI":"10.1111/gcb.14339","ISSN":"13652486","PMID":"29855126","abstract":"Theoretical and eddy covariance studies demonstrate that aerosol-loading stimulates canopy photosynthesis, but field evidence for the aerosol effect on tree growth is limited. Here, we measured in situ daily stem growth rates of aspen trees under a wide range of aerosol-loading in China. The results showed that daily stem growth rates were positively correlated with aerosol-loading, even at exceptionally high aerosol levels. Using structural equation modeling analysis, we showed that variations in stem growth rates can be largely attributed to two environmental variables covarying with aerosol loading: diffuse fraction of radiation and vapor pressure deficit (VPD). Furthermore, we found that these two factors influence stem growth by influencing photosynthesis from different parts of canopy. Using field observations and a mechanistic photosynthesis model, we demonstrate that photosynthetic rates of both sun and shade leaves increased under high aerosol-loading conditions but for different reasons. For sun leaves, the photosynthetic increase was primarily attributed to the concurrent lower VPD; for shade leaves, the positive aerosol effect was tightly connected with increased diffuse light. Overall, our study provides the first field evidence of increased tree growth under high aerosol loading. We highlight the importance of understanding biophysical mechanisms of aerosol-meteorology interactions, and incorporating the different pathways of aerosol effects into earth system models to improve the prediction of large-scale aerosol impacts, and the associated vegetation-mediated climate feedbacks.","author":[{"dropping-particle":"","family":"Wang","given":"Xin","non-dropping-particle":"","parse-names":false,"suffix":""},{"dropping-particle":"","family":"Wu","given":"Jin","non-dropping-particle":"","parse-names":false,"suffix":""},{"dropping-particle":"","family":"Chen","given":"Min","non-dropping-particle":"","parse-names":false,"suffix":""},{"dropping-particle":"","family":"Xu","given":"Xiangtao","non-dropping-particle":"","parse-names":false,"suffix":""},{"dropping-particle":"","family":"Wang","given":"Zhenhua","non-dropping-particle":"","parse-names":false,"suffix":""},{"dropping-particle":"","family":"Wang","given":"Bin","non-dropping-particle":"","parse-names":false,"suffix":""},{"dropping-particle":"","family":"Wang","given":"Chengzhang","non-dropping-particle":"","parse-names":false,"suffix":""},{"dropping-particle":"","family":"Piao","given":"Shilong","non-dropping-particle":"","parse-names":false,"suffix":""},{"dropping-particle":"","family":"Lin","given":"Weili","non-dropping-particle":"","parse-names":false,"suffix":""},{"dropping-particle":"","family":"Miao","given":"Guofang","non-dropping-particle":"","parse-names":false,"suffix":""},{"dropping-particle":"","family":"Deng","given":"Meifeng","non-dropping-particle":"","parse-names":false,"suffix":""},{"dropping-particle":"","family":"Qiao","given":"Chunlian","non-dropping-particle":"","parse-names":false,"suffix":""},{"dropping-particle":"","family":"Wang","given":"Jing","non-dropping-particle":"","parse-names":false,"suffix":""},{"dropping-particle":"","family":"Xu","given":"Shan","non-dropping-particle":"","parse-names":false,"suffix":""},{"dropping-particle":"","family":"Liu","given":"Lingli","non-dropping-particle":"","parse-names":false,"suffix":""}],"container-title":"Global Change Biology","id":"ITEM-3","issue":"10","issued":{"date-parts":[["2018"]]},"page":"4983-4992","title":"Field evidences for the positive effects of aerosols on tree growth","type":"article-journal","volume":"24"},"uris":["http://www.mendeley.com/documents/?uuid=5d555f02-0de2-4541-8b06-75bd8edbf146"]}],"mendeley":{"formattedCitation":"(Mercado et al., 2009; Roderick, Farquhar, Berry, &amp; Noble, 2001; Wang et al., 2018)","plainTextFormattedCitation":"(Mercado et al., 2009; Roderick, Farquhar, Berry, &amp; Noble, 2001; Wang et al., 2018)","previouslyFormattedCitation":"(Mercado et al., 2009; Roderick, Farquhar, Berry, &amp; Noble, 2001; Wang et al., 2018)"},"properties":{"noteIndex":0},"schema":"https://github.com/citation-style-language/schema/raw/master/csl-citation.json"}</w:instrText>
      </w:r>
      <w:r>
        <w:rPr>
          <w:rFonts w:ascii="Times New Roman" w:hAnsi="Times New Roman" w:cs="Times New Roman"/>
          <w:sz w:val="24"/>
          <w:szCs w:val="24"/>
        </w:rPr>
        <w:fldChar w:fldCharType="separate"/>
      </w:r>
      <w:r w:rsidRPr="006A1D0A">
        <w:rPr>
          <w:rFonts w:ascii="Times New Roman" w:hAnsi="Times New Roman" w:cs="Times New Roman"/>
          <w:noProof/>
          <w:sz w:val="24"/>
          <w:szCs w:val="24"/>
        </w:rPr>
        <w:t>(Mercado et al., 2009; Roderick, Farquhar, Berry, &amp; Noble, 2001; Wang et al., 2018)</w:t>
      </w:r>
      <w:r>
        <w:rPr>
          <w:rFonts w:ascii="Times New Roman" w:hAnsi="Times New Roman" w:cs="Times New Roman"/>
          <w:sz w:val="24"/>
          <w:szCs w:val="24"/>
        </w:rPr>
        <w:fldChar w:fldCharType="end"/>
      </w:r>
      <w:r>
        <w:rPr>
          <w:rFonts w:ascii="Times New Roman" w:hAnsi="Times New Roman" w:cs="Times New Roman"/>
          <w:sz w:val="24"/>
          <w:szCs w:val="24"/>
        </w:rPr>
        <w:t>, O</w:t>
      </w:r>
      <w:r w:rsidRPr="00FA7919">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can cause direct oxidative damage to the photosynthetic machinery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{"citationItems":[{"id":"ITEM-1","itemData":{"DOI":"10.1199/tab.0036.1","ISSN":"1543-8120","abstract":"One of the most crucial functions of plant cells is their abil- ity to respond to fluctuations in their environment. Understanding the connections between a plant’s initial responses and the downstream events that constitute suc- cessful adjustment to its altered environment is one of the next grand challenges of plant biology. Oxidative stress from environmental sources and developmental transitions such as seed maturation involves the formation of reactive oxygen species (ROS) in plant cells. The redox-modulated changes that follow are central events in cellular respons- es.","author":[{"dropping-particle":"","family":"Grene","given":"Ruth","non-dropping-particle":"","parse-names":false,"suffix":""}],"container-title":"The Arabidopsis Book","id":"ITEM-1","issued":{"date-parts":[["2002"]]},"page":"e0036","title":"Oxidative Stress and Acclimation Mechanisms in Plants","type":"article-journal","volume":"1"},"uris":["http://www.mendeley.com/documents/?uuid=57e3332e-977d-498f-8812-011d0475b60b"]},{"id":"ITEM-2","itemData":{"DOI":"10.1111/j.1365-2486.2008.01774.x","ISSN":"13541013","abstract":"The northern hemisphere temperate and boreal forests currently provide an important carbon sink; however, current tropospheric ozone concentrations ([O3]) and [O3] projected for later this century are damaging to trees and have the potential to reduce the carbon sink strength of these forests. This meta-analysis estimated the magnitude of the impacts of current [O3] and future [O3] on the biomass, growth, physiology and biochemistry of trees representative of northern hemisphere forests. Current ambient [O3] (40 ppb on average) significantly reduced the total biomass of trees by 7% compared with trees grown in charcoal-filtered (CF) controls, which approximate preindustrial [O3]. Above- and belowground productivity were equally affected by ambient [O3] in these studies. Elevated [O3] of 64ppb reduced total biomass by 11% compared with trees grown at ambient [O3] while elevated [O3] of 97ppb reduced total biomass of trees by 17% compared with CF controls. The root-to-shoot ratio was significantly reduced by elevated [O3] indicating greater sensitivity of root biomass to [O3]. At elevated [O3], trees had significant reductions in leaf area, Rubisco content and chlorophyll content which may underlie significant reductions in photosynthetic capacity. Trees also had lower transpiration rates, and were shorter in height and had reduced diameter when grown at elevated [O3]. Further, at elevated [O3], gymnosperms were significantly less sensitive than angiosperms. There were too few observations of the interaction of [O3] with elevated [CO2] and drought to conclusively project how these climate change factors will alter tree responses to [O3]. Taken together, these results demonstrate that the carbon-sink strength of northern hemisphere forests is likely reduced by current [O3] and will be further reduced in future if [O3] rises. This implies that a key carbon sink currently offsetting a significant portion of global fossil fuel CO2 emissions could be diminished or lost in the future. © 2008 The Authors Journal compilation © 2008 Blackwell Publishing.","author":[{"dropping-particle":"","family":"Wittig","given":"Victoria E.","non-dropping-particle":"","parse-names":false,"suffix":""},{"dropping-particle":"","family":"Ainsworth","given":"Elizabeth A.","non-dropping-particle":"","parse-names":false,"suffix":""},{"dropping-particle":"","family":"Naidu","given":"Shawna L.","non-dropping-particle":"","parse-names":false,"suffix":""},{"dropping-particle":"","family":"Karnosky","given":"David F.","non-dropping-particle":"","parse-names":false,"suffix":""},{"dropping-particle":"","family":"Long","given":"Stephen P.","non-dropping-particle":"","parse-names":false,"suffix":""}],"container-title":"Global Change Biology","id":"ITEM-2","issue":"2","issued":{"date-parts":[["2009"]]},"page":"396-424","title":"Quantifying the impact of current and future tropospheric ozone on tree biomass, growth, physiology and biochemistry: A quantitative meta-analysis","type":"article-journal","volume":"15"},"uris":["http://www.mendeley.com/documents/?uuid=24f76f72-dea3-4867-b2ce-8cdf22fa40ee"]},{"id":"ITEM-3","itemData":{"DOI":"10.1034/j.1399-3054.1997.1000207.x","ISSN":"00319317","abstract":"In this review we explore several models which might explain ozone (O3)-induced injury to plant foliage. Ozone enters the cell through the wall and plasma membrane where active oxygen species are generated. If the concentration of O3 is very high, unregulated cell death will occur. Alternatively, the active oxygen species, or succeeding reaction products, may serve as elicitors of regulated plant responses. These regulated responses include the induction of ethylene which could serve as a primary signal for-or a facilitator of-subsequent responses. The role of regulated suppression of photosynthetic genes and induction of chitinases and β-1,3-glucanase in programmed cell death is explored. Induction of antioxidants, enzymes of lignification and glutathione-S-transferase are discussed in the context of O3-induced cell repair or cell protection. A second model is postulated to explain induction of accelerated foliar senescence by low levels of O3. The notion that O3-induced elicitation of responses in the nucleus might lead to increased oxidative stress in the chloroplast is considered as a mechanism for accelerating the rate of degradation of ribulose-1,5-bisphosphate carboxylase/oxygenase (Rubisco). The mechanisms by which O3 induces loss of Rubisco, and the relationship to accelerated foliar senescence are discussed.","author":[{"dropping-particle":"","family":"Pell","given":"Eva J.","non-dropping-particle":"","parse-names":false,"suffix":""},{"dropping-particle":"","family":"Schlagnhaufer","given":"Carl D.","non-dropping-particle":"","parse-names":false,"suffix":""},{"dropping-particle":"","family":"Arteca","given":"Richard N.","non-dropping-particle":"","parse-names":false,"suffix":""}],"container-title":"Physiologia Plantarum","id":"ITEM-3","issue":"2","issued":{"date-parts":[["1997"]]},"page":"264-273","title":"Ozone-induced oxidative stress: Mechanisms of action and reaction","type":"article-journal","volume":"100"},"uris":["http://www.mendeley.com/documents/?uuid=3ca907ad-607f-4b55-90b1-3057f4096a8e"]}],"mendeley":{"formattedCitation":"(Grene, 2002; Pell, Schlagnhaufer, &amp; Arteca, 1997; Wittig, Ainsworth, Naidu, Karnosky, &amp; Long, 2009)","plainTextFormattedCitation":"(Grene, 2002; Pell, Schlagnhaufer, &amp; Arteca, 1997; Wittig, Ainsworth, Naidu, Karnosky, &amp; Long, 2009)","previouslyFormattedCitation":"(Grene, 2002; Pell, Schlagnhaufer, &amp; Arteca, 1997; Wittig, Ainsworth, Naidu, Karnosky, &amp; Long, 2009)"},"properties":{"noteIndex":0},"schema":"https://github.com/citation-style-language/schema/raw/master/csl-citation.json"}</w:instrText>
      </w:r>
      <w:r>
        <w:rPr>
          <w:rFonts w:ascii="Times New Roman" w:hAnsi="Times New Roman" w:cs="Times New Roman"/>
          <w:sz w:val="24"/>
          <w:szCs w:val="24"/>
        </w:rPr>
        <w:fldChar w:fldCharType="separate"/>
      </w:r>
      <w:r w:rsidRPr="00045A1D">
        <w:rPr>
          <w:rFonts w:ascii="Times New Roman" w:hAnsi="Times New Roman" w:cs="Times New Roman"/>
          <w:noProof/>
          <w:sz w:val="24"/>
          <w:szCs w:val="24"/>
        </w:rPr>
        <w:t>(Grene, 2002; Pell, Schlagnhaufer, &amp; Arteca, 1997; Wittig, Ainsworth, Naidu, Karnosky, &amp; Long, 2009)</w:t>
      </w:r>
      <w:r>
        <w:rPr>
          <w:rFonts w:ascii="Times New Roman" w:hAnsi="Times New Roman" w:cs="Times New Roman"/>
          <w:sz w:val="24"/>
          <w:szCs w:val="24"/>
        </w:rPr>
        <w:fldChar w:fldCharType="end"/>
      </w:r>
      <w:r w:rsidRPr="004F3E51">
        <w:rPr>
          <w:rFonts w:ascii="Times New Roman" w:hAnsi="Times New Roman" w:cs="Times New Roman"/>
          <w:sz w:val="24"/>
          <w:szCs w:val="24"/>
        </w:rPr>
        <w:t>. Th</w:t>
      </w:r>
      <w:r>
        <w:rPr>
          <w:rFonts w:ascii="Times New Roman" w:hAnsi="Times New Roman" w:cs="Times New Roman"/>
          <w:sz w:val="24"/>
          <w:szCs w:val="24"/>
        </w:rPr>
        <w:t>us</w:t>
      </w:r>
      <w:r w:rsidRPr="004F3E51">
        <w:rPr>
          <w:rFonts w:ascii="Times New Roman" w:hAnsi="Times New Roman" w:cs="Times New Roman"/>
          <w:sz w:val="24"/>
          <w:szCs w:val="24"/>
        </w:rPr>
        <w:t xml:space="preserve">, the reduction in primary pollutant emissions during the spring 2020 lockdown </w:t>
      </w:r>
      <w:r>
        <w:rPr>
          <w:rFonts w:ascii="Times New Roman" w:hAnsi="Times New Roman" w:cs="Times New Roman"/>
          <w:sz w:val="24"/>
          <w:szCs w:val="24"/>
        </w:rPr>
        <w:t>provided</w:t>
      </w:r>
      <w:r w:rsidRPr="004F3E51">
        <w:rPr>
          <w:rFonts w:ascii="Times New Roman" w:hAnsi="Times New Roman" w:cs="Times New Roman"/>
          <w:sz w:val="24"/>
          <w:szCs w:val="24"/>
        </w:rPr>
        <w:t xml:space="preserve"> a unique opportunity to </w:t>
      </w:r>
      <w:r>
        <w:rPr>
          <w:rFonts w:ascii="Times New Roman" w:hAnsi="Times New Roman" w:cs="Times New Roman"/>
          <w:sz w:val="24"/>
          <w:szCs w:val="24"/>
        </w:rPr>
        <w:t>study</w:t>
      </w:r>
      <w:r w:rsidRPr="004F3E51">
        <w:rPr>
          <w:rFonts w:ascii="Times New Roman" w:hAnsi="Times New Roman" w:cs="Times New Roman"/>
          <w:sz w:val="24"/>
          <w:szCs w:val="24"/>
        </w:rPr>
        <w:t xml:space="preserve"> the real-world response of terrestrial ecosystems</w:t>
      </w:r>
      <w:r>
        <w:rPr>
          <w:rFonts w:ascii="Times New Roman" w:hAnsi="Times New Roman" w:cs="Times New Roman"/>
          <w:sz w:val="24"/>
          <w:szCs w:val="24"/>
        </w:rPr>
        <w:t xml:space="preserve">’ </w:t>
      </w:r>
      <w:r w:rsidRPr="004F3E51">
        <w:rPr>
          <w:rFonts w:ascii="Times New Roman" w:hAnsi="Times New Roman" w:cs="Times New Roman"/>
          <w:sz w:val="24"/>
          <w:szCs w:val="24"/>
        </w:rPr>
        <w:t xml:space="preserve">photosynthetic activity to changes in air quality. </w:t>
      </w:r>
    </w:p>
    <w:p w14:paraId="45A70CD9" w14:textId="77777777" w:rsidR="00103AF5" w:rsidRDefault="00103AF5" w:rsidP="00103AF5">
      <w:pPr>
        <w:snapToGrid w:val="0"/>
        <w:spacing w:after="0" w:line="480" w:lineRule="auto"/>
        <w:ind w:firstLine="720"/>
        <w:rPr>
          <w:rFonts w:ascii="Times New Roman" w:hAnsi="Times New Roman" w:cs="Times New Roman"/>
          <w:sz w:val="24"/>
          <w:szCs w:val="24"/>
        </w:rPr>
      </w:pPr>
      <w:bookmarkStart w:id="0" w:name="_Hlk122900733"/>
      <w:r>
        <w:rPr>
          <w:rFonts w:ascii="Times New Roman" w:hAnsi="Times New Roman" w:cs="Times New Roman"/>
          <w:sz w:val="24"/>
          <w:szCs w:val="24"/>
        </w:rPr>
        <w:t>In this study, w</w:t>
      </w:r>
      <w:r w:rsidRPr="004F3E51">
        <w:rPr>
          <w:rFonts w:ascii="Times New Roman" w:hAnsi="Times New Roman" w:cs="Times New Roman"/>
          <w:sz w:val="24"/>
          <w:szCs w:val="24"/>
        </w:rPr>
        <w:t xml:space="preserve">e </w:t>
      </w:r>
      <w:r>
        <w:rPr>
          <w:rFonts w:ascii="Times New Roman" w:hAnsi="Times New Roman" w:cs="Times New Roman"/>
          <w:sz w:val="24"/>
          <w:szCs w:val="24"/>
        </w:rPr>
        <w:t>aim to test the following</w:t>
      </w:r>
      <w:r w:rsidRPr="004F3E51">
        <w:rPr>
          <w:rFonts w:ascii="Times New Roman" w:hAnsi="Times New Roman" w:cs="Times New Roman"/>
          <w:sz w:val="24"/>
          <w:szCs w:val="24"/>
        </w:rPr>
        <w:t xml:space="preserve"> hypotheses: </w:t>
      </w:r>
      <w:r>
        <w:rPr>
          <w:rFonts w:ascii="Times New Roman" w:hAnsi="Times New Roman" w:cs="Times New Roman"/>
          <w:sz w:val="24"/>
          <w:szCs w:val="24"/>
        </w:rPr>
        <w:t xml:space="preserve">(1) a network of monitoring stations can detect changes in GPP during the COVID-19 lockdown, (2) the GPP in the spring of 2020 was higher than in previous years due to the reduction of atmospheric pollutants, (3) the </w:t>
      </w:r>
      <w:r w:rsidRPr="004F3E51">
        <w:rPr>
          <w:rFonts w:ascii="Times New Roman" w:hAnsi="Times New Roman" w:cs="Times New Roman"/>
          <w:sz w:val="24"/>
          <w:szCs w:val="24"/>
        </w:rPr>
        <w:t xml:space="preserve">decrease in PM concentrations and </w:t>
      </w:r>
      <w:r>
        <w:rPr>
          <w:rFonts w:ascii="Times New Roman" w:hAnsi="Times New Roman" w:cs="Times New Roman"/>
          <w:sz w:val="24"/>
          <w:szCs w:val="24"/>
        </w:rPr>
        <w:t>resulting</w:t>
      </w:r>
      <w:r w:rsidRPr="004F3E51">
        <w:rPr>
          <w:rFonts w:ascii="Times New Roman" w:hAnsi="Times New Roman" w:cs="Times New Roman"/>
          <w:sz w:val="24"/>
          <w:szCs w:val="24"/>
        </w:rPr>
        <w:t xml:space="preserve"> </w:t>
      </w:r>
      <w:r>
        <w:rPr>
          <w:rFonts w:ascii="Times New Roman" w:hAnsi="Times New Roman" w:cs="Times New Roman"/>
          <w:sz w:val="24"/>
          <w:szCs w:val="24"/>
        </w:rPr>
        <w:t>increase</w:t>
      </w:r>
      <w:r w:rsidRPr="004F3E51">
        <w:rPr>
          <w:rFonts w:ascii="Times New Roman" w:hAnsi="Times New Roman" w:cs="Times New Roman"/>
          <w:sz w:val="24"/>
          <w:szCs w:val="24"/>
        </w:rPr>
        <w:t xml:space="preserve"> in incoming shortwave solar radiation (SW</w:t>
      </w:r>
      <w:r w:rsidRPr="004F3E51">
        <w:rPr>
          <w:rFonts w:ascii="Times New Roman" w:hAnsi="Times New Roman" w:cs="Times New Roman"/>
          <w:sz w:val="24"/>
          <w:szCs w:val="24"/>
          <w:vertAlign w:val="subscript"/>
        </w:rPr>
        <w:t>in</w:t>
      </w:r>
      <w:r w:rsidRPr="004F3E51">
        <w:rPr>
          <w:rFonts w:ascii="Times New Roman" w:hAnsi="Times New Roman" w:cs="Times New Roman"/>
          <w:sz w:val="24"/>
          <w:szCs w:val="24"/>
        </w:rPr>
        <w:t>)</w:t>
      </w:r>
      <w:r>
        <w:rPr>
          <w:rFonts w:ascii="Times New Roman" w:hAnsi="Times New Roman" w:cs="Times New Roman"/>
          <w:sz w:val="24"/>
          <w:szCs w:val="24"/>
        </w:rPr>
        <w:t xml:space="preserve"> would promote </w:t>
      </w:r>
      <w:r w:rsidRPr="004F3E51">
        <w:rPr>
          <w:rFonts w:ascii="Times New Roman" w:hAnsi="Times New Roman" w:cs="Times New Roman"/>
          <w:sz w:val="24"/>
          <w:szCs w:val="24"/>
        </w:rPr>
        <w:t>photosynthesis</w:t>
      </w:r>
      <w:r>
        <w:rPr>
          <w:rFonts w:ascii="Times New Roman" w:hAnsi="Times New Roman" w:cs="Times New Roman"/>
          <w:sz w:val="24"/>
          <w:szCs w:val="24"/>
        </w:rPr>
        <w:t>,</w:t>
      </w:r>
      <w:r w:rsidRPr="004F3E51">
        <w:rPr>
          <w:rFonts w:ascii="Times New Roman" w:hAnsi="Times New Roman" w:cs="Times New Roman"/>
          <w:sz w:val="24"/>
          <w:szCs w:val="24"/>
        </w:rPr>
        <w:t xml:space="preserve"> and (</w:t>
      </w:r>
      <w:r>
        <w:rPr>
          <w:rFonts w:ascii="Times New Roman" w:hAnsi="Times New Roman" w:cs="Times New Roman"/>
          <w:sz w:val="24"/>
          <w:szCs w:val="24"/>
        </w:rPr>
        <w:t>4</w:t>
      </w:r>
      <w:r w:rsidRPr="004F3E51">
        <w:rPr>
          <w:rFonts w:ascii="Times New Roman" w:hAnsi="Times New Roman" w:cs="Times New Roman"/>
          <w:sz w:val="24"/>
          <w:szCs w:val="24"/>
        </w:rPr>
        <w:t xml:space="preserve">) </w:t>
      </w:r>
      <w:r>
        <w:rPr>
          <w:rFonts w:ascii="Times New Roman" w:hAnsi="Times New Roman" w:cs="Times New Roman"/>
          <w:sz w:val="24"/>
          <w:szCs w:val="24"/>
        </w:rPr>
        <w:t>the</w:t>
      </w:r>
      <w:r w:rsidRPr="004F3E51">
        <w:rPr>
          <w:rFonts w:ascii="Times New Roman" w:hAnsi="Times New Roman" w:cs="Times New Roman"/>
          <w:sz w:val="24"/>
          <w:szCs w:val="24"/>
        </w:rPr>
        <w:t xml:space="preserve"> reduction of O</w:t>
      </w:r>
      <w:r w:rsidRPr="004F3E51">
        <w:rPr>
          <w:rFonts w:ascii="Times New Roman" w:hAnsi="Times New Roman" w:cs="Times New Roman"/>
          <w:sz w:val="24"/>
          <w:szCs w:val="24"/>
          <w:vertAlign w:val="subscript"/>
        </w:rPr>
        <w:t>3</w:t>
      </w:r>
      <w:r w:rsidRPr="004F3E51">
        <w:rPr>
          <w:rFonts w:ascii="Times New Roman" w:hAnsi="Times New Roman" w:cs="Times New Roman"/>
          <w:sz w:val="24"/>
          <w:szCs w:val="24"/>
        </w:rPr>
        <w:t xml:space="preserve"> precursor emissions (</w:t>
      </w:r>
      <w:r>
        <w:rPr>
          <w:rFonts w:ascii="Times New Roman" w:hAnsi="Times New Roman" w:cs="Times New Roman"/>
          <w:sz w:val="24"/>
          <w:szCs w:val="24"/>
        </w:rPr>
        <w:t>such as</w:t>
      </w:r>
      <w:r w:rsidRPr="004F3E51">
        <w:rPr>
          <w:rFonts w:ascii="Times New Roman" w:hAnsi="Times New Roman" w:cs="Times New Roman"/>
          <w:sz w:val="24"/>
          <w:szCs w:val="24"/>
        </w:rPr>
        <w:t xml:space="preserve"> NO</w:t>
      </w:r>
      <w:r w:rsidRPr="004F3E51">
        <w:rPr>
          <w:rFonts w:ascii="Times New Roman" w:hAnsi="Times New Roman" w:cs="Times New Roman"/>
          <w:sz w:val="24"/>
          <w:szCs w:val="24"/>
          <w:vertAlign w:val="subscript"/>
        </w:rPr>
        <w:t>x</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would </w:t>
      </w:r>
      <w:r w:rsidRPr="004F3E51">
        <w:rPr>
          <w:rFonts w:ascii="Times New Roman" w:hAnsi="Times New Roman" w:cs="Times New Roman"/>
          <w:sz w:val="24"/>
          <w:szCs w:val="24"/>
        </w:rPr>
        <w:t>reduce the formation of O</w:t>
      </w:r>
      <w:r w:rsidRPr="004F3E51">
        <w:rPr>
          <w:rFonts w:ascii="Times New Roman" w:hAnsi="Times New Roman" w:cs="Times New Roman"/>
          <w:sz w:val="24"/>
          <w:szCs w:val="24"/>
          <w:vertAlign w:val="subscript"/>
        </w:rPr>
        <w:t>3</w:t>
      </w:r>
      <w:r w:rsidRPr="004F3E51">
        <w:rPr>
          <w:rFonts w:ascii="Times New Roman" w:hAnsi="Times New Roman" w:cs="Times New Roman"/>
          <w:sz w:val="24"/>
          <w:szCs w:val="24"/>
        </w:rPr>
        <w:t xml:space="preserve"> and its phytotoxic effects</w:t>
      </w:r>
      <w:r>
        <w:rPr>
          <w:rFonts w:ascii="Times New Roman" w:hAnsi="Times New Roman" w:cs="Times New Roman"/>
          <w:sz w:val="24"/>
          <w:szCs w:val="24"/>
        </w:rPr>
        <w:t>, resulting in increased photosynthesis</w:t>
      </w:r>
      <w:r w:rsidRPr="004F3E51">
        <w:rPr>
          <w:rFonts w:ascii="Times New Roman" w:hAnsi="Times New Roman" w:cs="Times New Roman"/>
          <w:sz w:val="24"/>
          <w:szCs w:val="24"/>
        </w:rPr>
        <w:t xml:space="preserve">. </w:t>
      </w:r>
      <w:bookmarkEnd w:id="0"/>
      <w:r w:rsidRPr="004F3E51">
        <w:rPr>
          <w:rFonts w:ascii="Times New Roman" w:hAnsi="Times New Roman" w:cs="Times New Roman"/>
          <w:sz w:val="24"/>
          <w:szCs w:val="24"/>
        </w:rPr>
        <w:t xml:space="preserve">To test </w:t>
      </w:r>
      <w:r>
        <w:rPr>
          <w:rFonts w:ascii="Times New Roman" w:hAnsi="Times New Roman" w:cs="Times New Roman"/>
          <w:sz w:val="24"/>
          <w:szCs w:val="24"/>
        </w:rPr>
        <w:t>these</w:t>
      </w:r>
      <w:r w:rsidRPr="004F3E51">
        <w:rPr>
          <w:rFonts w:ascii="Times New Roman" w:hAnsi="Times New Roman" w:cs="Times New Roman"/>
          <w:sz w:val="24"/>
          <w:szCs w:val="24"/>
        </w:rPr>
        <w:t xml:space="preserve"> hypotheses, we </w:t>
      </w:r>
      <w:r w:rsidRPr="00942504">
        <w:rPr>
          <w:rFonts w:ascii="Times New Roman" w:hAnsi="Times New Roman" w:cs="Times New Roman"/>
          <w:sz w:val="24"/>
          <w:szCs w:val="24"/>
          <w:lang w:val="en-US"/>
        </w:rPr>
        <w:t>analyzed</w:t>
      </w:r>
      <w:r w:rsidRPr="004F3E51">
        <w:rPr>
          <w:rFonts w:ascii="Times New Roman" w:hAnsi="Times New Roman" w:cs="Times New Roman"/>
          <w:sz w:val="24"/>
          <w:szCs w:val="24"/>
        </w:rPr>
        <w:t xml:space="preserve"> turbulent surface-atmosphere CO</w:t>
      </w:r>
      <w:r w:rsidRPr="004F3E51">
        <w:rPr>
          <w:rFonts w:ascii="Times New Roman" w:hAnsi="Times New Roman" w:cs="Times New Roman"/>
          <w:sz w:val="24"/>
          <w:szCs w:val="24"/>
          <w:vertAlign w:val="subscript"/>
        </w:rPr>
        <w:t>2</w:t>
      </w:r>
      <w:r w:rsidRPr="004F3E51">
        <w:rPr>
          <w:rFonts w:ascii="Times New Roman" w:hAnsi="Times New Roman" w:cs="Times New Roman"/>
          <w:sz w:val="24"/>
          <w:szCs w:val="24"/>
        </w:rPr>
        <w:t xml:space="preserve"> fluxes from eddy covariance measurements</w:t>
      </w:r>
      <w:r>
        <w:rPr>
          <w:rFonts w:ascii="Times New Roman" w:hAnsi="Times New Roman" w:cs="Times New Roman"/>
          <w:sz w:val="24"/>
          <w:szCs w:val="24"/>
        </w:rPr>
        <w:t>, as well as</w:t>
      </w:r>
      <w:r w:rsidRPr="004F3E51">
        <w:rPr>
          <w:rFonts w:ascii="Times New Roman" w:hAnsi="Times New Roman" w:cs="Times New Roman"/>
          <w:sz w:val="24"/>
          <w:szCs w:val="24"/>
        </w:rPr>
        <w:t xml:space="preserve"> meteorological data collected at </w:t>
      </w:r>
      <w:r>
        <w:rPr>
          <w:rFonts w:ascii="Times New Roman" w:hAnsi="Times New Roman" w:cs="Times New Roman"/>
          <w:sz w:val="24"/>
          <w:szCs w:val="24"/>
        </w:rPr>
        <w:t xml:space="preserve">44 </w:t>
      </w:r>
      <w:r w:rsidRPr="004F3E51">
        <w:rPr>
          <w:rFonts w:ascii="Times New Roman" w:hAnsi="Times New Roman" w:cs="Times New Roman"/>
          <w:sz w:val="24"/>
          <w:szCs w:val="24"/>
        </w:rPr>
        <w:t xml:space="preserve">ecosystem </w:t>
      </w:r>
      <w:r>
        <w:rPr>
          <w:rFonts w:ascii="Times New Roman" w:hAnsi="Times New Roman" w:cs="Times New Roman"/>
          <w:sz w:val="24"/>
          <w:szCs w:val="24"/>
        </w:rPr>
        <w:t xml:space="preserve">monitoring </w:t>
      </w:r>
      <w:r w:rsidRPr="004F3E51">
        <w:rPr>
          <w:rFonts w:ascii="Times New Roman" w:hAnsi="Times New Roman" w:cs="Times New Roman"/>
          <w:sz w:val="24"/>
          <w:szCs w:val="24"/>
        </w:rPr>
        <w:t>stations across Europe</w:t>
      </w:r>
      <w:r>
        <w:rPr>
          <w:rFonts w:ascii="Times New Roman" w:hAnsi="Times New Roman" w:cs="Times New Roman"/>
          <w:sz w:val="24"/>
          <w:szCs w:val="24"/>
        </w:rPr>
        <w:t xml:space="preserve">. We also incorporated </w:t>
      </w:r>
      <w:r w:rsidRPr="004F3E51">
        <w:rPr>
          <w:rFonts w:ascii="Times New Roman" w:hAnsi="Times New Roman" w:cs="Times New Roman"/>
          <w:sz w:val="24"/>
          <w:szCs w:val="24"/>
        </w:rPr>
        <w:t xml:space="preserve">air pollution data simulated by a regional-scale chemical transport model (LOTOS-EUROS). </w:t>
      </w:r>
      <w:r w:rsidRPr="004F3E51">
        <w:rPr>
          <w:rFonts w:ascii="Times New Roman" w:hAnsi="Times New Roman" w:cs="Times New Roman"/>
          <w:sz w:val="24"/>
          <w:szCs w:val="24"/>
        </w:rPr>
        <w:lastRenderedPageBreak/>
        <w:t>This is the first study to our knowledge to assess the impact of COVID-19 lockdown on terrestrial ecosystem GPP.</w:t>
      </w:r>
    </w:p>
    <w:p w14:paraId="34A4B6C7" w14:textId="77777777" w:rsidR="00103AF5" w:rsidRDefault="00103AF5" w:rsidP="00103AF5">
      <w:pPr>
        <w:snapToGrid w:val="0"/>
        <w:spacing w:after="0" w:line="480" w:lineRule="auto"/>
        <w:ind w:firstLine="720"/>
        <w:rPr>
          <w:rFonts w:ascii="Times New Roman" w:hAnsi="Times New Roman" w:cs="Times New Roman"/>
          <w:sz w:val="24"/>
          <w:szCs w:val="24"/>
        </w:rPr>
      </w:pPr>
    </w:p>
    <w:p w14:paraId="2E04B0E2" w14:textId="77777777" w:rsidR="00103AF5" w:rsidRPr="00BD6292" w:rsidRDefault="00103AF5" w:rsidP="00103AF5">
      <w:pPr>
        <w:pStyle w:val="ListParagraph"/>
        <w:numPr>
          <w:ilvl w:val="0"/>
          <w:numId w:val="5"/>
        </w:numPr>
        <w:snapToGrid w:val="0"/>
        <w:spacing w:after="0" w:line="480" w:lineRule="auto"/>
        <w:ind w:left="284" w:hanging="284"/>
        <w:rPr>
          <w:rFonts w:ascii="Times New Roman" w:hAnsi="Times New Roman" w:cs="Times New Roman"/>
          <w:b/>
          <w:bCs/>
          <w:sz w:val="24"/>
          <w:szCs w:val="24"/>
        </w:rPr>
      </w:pPr>
      <w:r w:rsidRPr="00BD6292">
        <w:rPr>
          <w:rFonts w:ascii="Times New Roman" w:hAnsi="Times New Roman" w:cs="Times New Roman"/>
          <w:b/>
          <w:bCs/>
          <w:sz w:val="24"/>
          <w:szCs w:val="24"/>
        </w:rPr>
        <w:t>MATERIALS AND METHODS</w:t>
      </w:r>
    </w:p>
    <w:p w14:paraId="0502979C" w14:textId="77777777" w:rsidR="00103AF5" w:rsidRPr="00A73014" w:rsidRDefault="00103AF5" w:rsidP="00103AF5">
      <w:pPr>
        <w:snapToGrid w:val="0"/>
        <w:spacing w:after="0" w:line="480" w:lineRule="auto"/>
        <w:ind w:left="357" w:hanging="357"/>
        <w:rPr>
          <w:rFonts w:ascii="Times New Roman" w:hAnsi="Times New Roman" w:cs="Times New Roman"/>
          <w:b/>
          <w:sz w:val="24"/>
          <w:szCs w:val="24"/>
        </w:rPr>
      </w:pPr>
      <w:r w:rsidRPr="00A73014">
        <w:rPr>
          <w:rFonts w:ascii="Times New Roman" w:hAnsi="Times New Roman" w:cs="Times New Roman"/>
          <w:b/>
          <w:sz w:val="24"/>
          <w:szCs w:val="24"/>
        </w:rPr>
        <w:t>2.1</w:t>
      </w:r>
      <w:r w:rsidRPr="00A73014">
        <w:rPr>
          <w:rFonts w:ascii="Times New Roman" w:hAnsi="Times New Roman" w:cs="Times New Roman"/>
          <w:b/>
          <w:sz w:val="24"/>
          <w:szCs w:val="24"/>
        </w:rPr>
        <w:tab/>
        <w:t>Fluxes and meteorological datasets</w:t>
      </w:r>
    </w:p>
    <w:p w14:paraId="4F7EF66A" w14:textId="77777777" w:rsidR="00103AF5" w:rsidRDefault="00103AF5" w:rsidP="00103AF5">
      <w:pPr>
        <w:snapToGrid w:val="0"/>
        <w:spacing w:after="0" w:line="480" w:lineRule="auto"/>
        <w:ind w:firstLine="720"/>
        <w:rPr>
          <w:rFonts w:ascii="Times New Roman" w:hAnsi="Times New Roman" w:cs="Times New Roman"/>
          <w:sz w:val="24"/>
          <w:szCs w:val="24"/>
        </w:rPr>
      </w:pPr>
      <w:r w:rsidRPr="004F3E51">
        <w:rPr>
          <w:rFonts w:ascii="Times New Roman" w:hAnsi="Times New Roman" w:cs="Times New Roman"/>
          <w:sz w:val="24"/>
          <w:szCs w:val="24"/>
        </w:rPr>
        <w:t>This analysis u</w:t>
      </w:r>
      <w:r>
        <w:rPr>
          <w:rFonts w:ascii="Times New Roman" w:hAnsi="Times New Roman" w:cs="Times New Roman"/>
          <w:sz w:val="24"/>
          <w:szCs w:val="24"/>
        </w:rPr>
        <w:t>tilized</w:t>
      </w:r>
      <w:r w:rsidRPr="004F3E51">
        <w:rPr>
          <w:rFonts w:ascii="Times New Roman" w:hAnsi="Times New Roman" w:cs="Times New Roman"/>
          <w:sz w:val="24"/>
          <w:szCs w:val="24"/>
        </w:rPr>
        <w:t xml:space="preserve"> eddy covariance (EC) fluxes and meteorological data collected at the </w:t>
      </w:r>
      <w:r>
        <w:rPr>
          <w:rFonts w:ascii="Times New Roman" w:hAnsi="Times New Roman" w:cs="Times New Roman"/>
          <w:sz w:val="24"/>
          <w:szCs w:val="24"/>
        </w:rPr>
        <w:t xml:space="preserve">44 European </w:t>
      </w:r>
      <w:r w:rsidRPr="004F3E51">
        <w:rPr>
          <w:rFonts w:ascii="Times New Roman" w:hAnsi="Times New Roman" w:cs="Times New Roman"/>
          <w:sz w:val="24"/>
          <w:szCs w:val="24"/>
        </w:rPr>
        <w:t>ecosystem stations</w:t>
      </w:r>
      <w:r>
        <w:rPr>
          <w:rFonts w:ascii="Times New Roman" w:hAnsi="Times New Roman" w:cs="Times New Roman"/>
          <w:sz w:val="24"/>
          <w:szCs w:val="24"/>
        </w:rPr>
        <w:t xml:space="preserve"> (Fig. 1), which can be accessed </w:t>
      </w:r>
      <w:r w:rsidRPr="004F3E51">
        <w:rPr>
          <w:rFonts w:ascii="Times New Roman" w:hAnsi="Times New Roman" w:cs="Times New Roman"/>
          <w:sz w:val="24"/>
          <w:szCs w:val="24"/>
        </w:rPr>
        <w:t xml:space="preserve">through the </w:t>
      </w:r>
      <w:r w:rsidRPr="00DD1D2D">
        <w:rPr>
          <w:rFonts w:ascii="Times New Roman" w:hAnsi="Times New Roman" w:cs="Times New Roman"/>
          <w:color w:val="000000"/>
          <w:sz w:val="24"/>
          <w:szCs w:val="24"/>
        </w:rPr>
        <w:t>Integrated Carbon Observation System</w:t>
      </w:r>
      <w:r>
        <w:rPr>
          <w:rFonts w:ascii="Times New Roman" w:hAnsi="Times New Roman" w:cs="Times New Roman"/>
          <w:color w:val="000000"/>
          <w:sz w:val="24"/>
          <w:szCs w:val="24"/>
        </w:rPr>
        <w:t xml:space="preserve"> (ICOS)</w:t>
      </w:r>
      <w:r w:rsidRPr="00DD1D2D">
        <w:rPr>
          <w:rFonts w:ascii="Times New Roman" w:hAnsi="Times New Roman" w:cs="Times New Roman"/>
          <w:color w:val="000000"/>
          <w:sz w:val="24"/>
          <w:szCs w:val="24"/>
        </w:rPr>
        <w:t xml:space="preserve"> </w:t>
      </w:r>
      <w:r w:rsidRPr="004F3E51">
        <w:rPr>
          <w:rFonts w:ascii="Times New Roman" w:hAnsi="Times New Roman" w:cs="Times New Roman"/>
          <w:color w:val="000000"/>
          <w:sz w:val="24"/>
          <w:szCs w:val="24"/>
        </w:rPr>
        <w:t>Carbon Portal</w:t>
      </w:r>
      <w:r w:rsidRPr="004F3E51">
        <w:rPr>
          <w:rFonts w:ascii="Times New Roman" w:hAnsi="Times New Roman" w:cs="Times New Roman"/>
          <w:sz w:val="24"/>
          <w:szCs w:val="24"/>
        </w:rPr>
        <w:t xml:space="preserve">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{"citationItems":[{"id":"ITEM-1","itemData":{"URL":"https://doi.org/10.18160/2G60-ZHAK","author":[{"dropping-particle":"","family":"Warm Winter 2020 Team &amp; ICOS Ecosystem Thematic Centre","given":"","non-dropping-particle":"","parse-names":false,"suffix":""}],"container-title":"ICOS Carbon Portal","id":"ITEM-1","issued":{"date-parts":[["2022"]]},"title":"Warm Winter 2020 ecosystem eddy covariance flux product for 73 stations in FLUXNET-Archive format—release 2022-1 (Version 1.0)","type":"webpage"},"uris":["http://www.mendeley.com/documents/?uuid=cd9264f9-ac11-4d57-84f2-4369b393272d"]}],"mendeley":{"formattedCitation":"(Warm Winter 2020 Team &amp; ICOS Ecosystem Thematic Centre, 2022)","plainTextFormattedCitation":"(Warm Winter 2020 Team &amp; ICOS Ecosystem Thematic Centre, 2022)","previouslyFormattedCitation":"(Warm Winter 2020 Team &amp; ICOS Ecosystem Thematic Centre, 2022)"},"properties":{"noteIndex":0},"schema":"https://github.com/citation-style-language/schema/raw/master/csl-citation.json"}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(Warm Winter 2020 Team &amp; ICOS Ecosystem Thematic Centre, 2022)</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The</w:t>
      </w:r>
      <w:r>
        <w:rPr>
          <w:rFonts w:ascii="Times New Roman" w:hAnsi="Times New Roman" w:cs="Times New Roman"/>
          <w:sz w:val="24"/>
          <w:szCs w:val="24"/>
        </w:rPr>
        <w:t>se</w:t>
      </w:r>
      <w:r w:rsidRPr="004F3E51">
        <w:rPr>
          <w:rFonts w:ascii="Times New Roman" w:hAnsi="Times New Roman" w:cs="Times New Roman"/>
          <w:sz w:val="24"/>
          <w:szCs w:val="24"/>
        </w:rPr>
        <w:t xml:space="preserve"> s</w:t>
      </w:r>
      <w:r>
        <w:rPr>
          <w:rFonts w:ascii="Times New Roman" w:hAnsi="Times New Roman" w:cs="Times New Roman"/>
          <w:sz w:val="24"/>
          <w:szCs w:val="24"/>
        </w:rPr>
        <w:t>tations</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are located in </w:t>
      </w:r>
      <w:r w:rsidRPr="004F3E51">
        <w:rPr>
          <w:rFonts w:ascii="Times New Roman" w:hAnsi="Times New Roman" w:cs="Times New Roman"/>
          <w:sz w:val="24"/>
          <w:szCs w:val="24"/>
        </w:rPr>
        <w:t xml:space="preserve">11 European countries and </w:t>
      </w:r>
      <w:r>
        <w:rPr>
          <w:rFonts w:ascii="Times New Roman" w:hAnsi="Times New Roman" w:cs="Times New Roman"/>
          <w:sz w:val="24"/>
          <w:szCs w:val="24"/>
        </w:rPr>
        <w:t>represent</w:t>
      </w:r>
      <w:r w:rsidRPr="004F3E51">
        <w:rPr>
          <w:rFonts w:ascii="Times New Roman" w:hAnsi="Times New Roman" w:cs="Times New Roman"/>
          <w:sz w:val="24"/>
          <w:szCs w:val="24"/>
        </w:rPr>
        <w:t xml:space="preserve"> nine </w:t>
      </w:r>
      <w:r>
        <w:rPr>
          <w:rFonts w:ascii="Times New Roman" w:hAnsi="Times New Roman" w:cs="Times New Roman"/>
          <w:sz w:val="24"/>
          <w:szCs w:val="24"/>
        </w:rPr>
        <w:t>plant functional</w:t>
      </w:r>
      <w:r w:rsidRPr="004F3E51">
        <w:rPr>
          <w:rFonts w:ascii="Times New Roman" w:hAnsi="Times New Roman" w:cs="Times New Roman"/>
          <w:sz w:val="24"/>
          <w:szCs w:val="24"/>
        </w:rPr>
        <w:t xml:space="preserve"> types, including closed shrubland (CSH), deciduous broadleaf forest (DBF), evergreen broadleaf forest (EBF), evergreen needleleaf forest (ENF), grassland (GRA), mixed forest (MF), open shrubland (OSH), savannah (SAV) and wetland (WET). </w:t>
      </w:r>
      <w:r>
        <w:rPr>
          <w:rFonts w:ascii="Times New Roman" w:hAnsi="Times New Roman" w:cs="Times New Roman"/>
          <w:sz w:val="24"/>
          <w:szCs w:val="24"/>
        </w:rPr>
        <w:t>The dataset thus covers the main plant functional types present in Europe, with the exception of croplands, which were excluded from the analysis due to the variable</w:t>
      </w:r>
      <w:r w:rsidRPr="00614D4A">
        <w:rPr>
          <w:rFonts w:ascii="Times New Roman" w:hAnsi="Times New Roman" w:cs="Times New Roman"/>
          <w:sz w:val="24"/>
          <w:szCs w:val="24"/>
        </w:rPr>
        <w:t xml:space="preserve"> practice of crop rotation</w:t>
      </w:r>
      <w:r>
        <w:rPr>
          <w:rFonts w:ascii="Times New Roman" w:hAnsi="Times New Roman" w:cs="Times New Roman"/>
          <w:sz w:val="24"/>
          <w:szCs w:val="24"/>
        </w:rPr>
        <w:t xml:space="preserve"> from year to year, making the detection of a GPP anomaly nearly impossible.</w:t>
      </w:r>
    </w:p>
    <w:p w14:paraId="54C029EE" w14:textId="77777777" w:rsidR="00103AF5" w:rsidRDefault="00103AF5" w:rsidP="00103AF5">
      <w:pPr>
        <w:spacing w:after="0" w:line="480" w:lineRule="auto"/>
        <w:rPr>
          <w:rFonts w:ascii="Times New Roman" w:hAnsi="Times New Roman" w:cs="Times New Roman"/>
        </w:rPr>
      </w:pPr>
    </w:p>
    <w:p w14:paraId="6B157F1A" w14:textId="77777777" w:rsidR="00103AF5" w:rsidRDefault="00103AF5" w:rsidP="00103AF5">
      <w:pPr>
        <w:spacing w:after="0" w:line="480" w:lineRule="auto"/>
        <w:rPr>
          <w:rFonts w:ascii="Times New Roman" w:hAnsi="Times New Roman" w:cs="Times New Roman"/>
        </w:rPr>
      </w:pPr>
    </w:p>
    <w:p w14:paraId="32B9FB03" w14:textId="77777777" w:rsidR="00103AF5" w:rsidRPr="004F3E51" w:rsidRDefault="00103AF5" w:rsidP="00103AF5">
      <w:pPr>
        <w:spacing w:after="0" w:line="480" w:lineRule="auto"/>
        <w:rPr>
          <w:rFonts w:ascii="Times New Roman" w:hAnsi="Times New Roman" w:cs="Times New Roman"/>
        </w:rPr>
      </w:pPr>
      <w:r>
        <w:rPr>
          <w:noProof/>
        </w:rPr>
        <w:lastRenderedPageBreak/>
        <w:drawing>
          <wp:inline distT="0" distB="0" distL="0" distR="0" wp14:anchorId="2AB7E95A" wp14:editId="6C7FF0F8">
            <wp:extent cx="5760720" cy="495998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stretch>
                      <a:fillRect/>
                    </a:stretch>
                  </pic:blipFill>
                  <pic:spPr>
                    <a:xfrm>
                      <a:off x="0" y="0"/>
                      <a:ext cx="5760720" cy="4959985"/>
                    </a:xfrm>
                    <a:prstGeom prst="rect">
                      <a:avLst/>
                    </a:prstGeom>
                  </pic:spPr>
                </pic:pic>
              </a:graphicData>
            </a:graphic>
          </wp:inline>
        </w:drawing>
      </w:r>
    </w:p>
    <w:p w14:paraId="23DF7197" w14:textId="77777777" w:rsidR="00103AF5" w:rsidRPr="000070C5" w:rsidRDefault="00103AF5" w:rsidP="00103AF5">
      <w:pPr>
        <w:spacing w:after="0" w:line="480" w:lineRule="auto"/>
        <w:rPr>
          <w:rFonts w:ascii="Times New Roman" w:hAnsi="Times New Roman" w:cs="Times New Roman"/>
          <w:sz w:val="24"/>
        </w:rPr>
      </w:pPr>
      <w:r w:rsidRPr="004F3E51">
        <w:rPr>
          <w:rFonts w:ascii="Times New Roman" w:hAnsi="Times New Roman" w:cs="Times New Roman"/>
          <w:b/>
          <w:sz w:val="24"/>
        </w:rPr>
        <w:t>Fig. 1.</w:t>
      </w:r>
      <w:r w:rsidRPr="004F3E51">
        <w:rPr>
          <w:rFonts w:ascii="Times New Roman" w:hAnsi="Times New Roman" w:cs="Times New Roman"/>
          <w:sz w:val="24"/>
        </w:rPr>
        <w:t xml:space="preserve"> </w:t>
      </w:r>
      <w:r w:rsidRPr="00FE170A">
        <w:rPr>
          <w:rFonts w:ascii="Times New Roman" w:hAnsi="Times New Roman" w:cs="Times New Roman"/>
          <w:bCs/>
          <w:sz w:val="24"/>
        </w:rPr>
        <w:t xml:space="preserve">Location of the 44 </w:t>
      </w:r>
      <w:r>
        <w:rPr>
          <w:rFonts w:ascii="Times New Roman" w:hAnsi="Times New Roman" w:cs="Times New Roman"/>
          <w:bCs/>
          <w:sz w:val="24"/>
        </w:rPr>
        <w:t xml:space="preserve">eddy covariance </w:t>
      </w:r>
      <w:r w:rsidRPr="00FE170A">
        <w:rPr>
          <w:rFonts w:ascii="Times New Roman" w:hAnsi="Times New Roman" w:cs="Times New Roman"/>
          <w:bCs/>
          <w:sz w:val="24"/>
        </w:rPr>
        <w:t>flux tower sites in this study.</w:t>
      </w:r>
      <w:r w:rsidRPr="004F3E51">
        <w:rPr>
          <w:rFonts w:ascii="Times New Roman" w:hAnsi="Times New Roman" w:cs="Times New Roman"/>
          <w:b/>
          <w:sz w:val="24"/>
        </w:rPr>
        <w:t xml:space="preserve"> </w:t>
      </w:r>
      <w:r w:rsidRPr="004F3E51">
        <w:rPr>
          <w:rFonts w:ascii="Times New Roman" w:hAnsi="Times New Roman" w:cs="Times New Roman"/>
          <w:sz w:val="24"/>
        </w:rPr>
        <w:t xml:space="preserve">Abbreviations: CSH, closed shrubland; DBF, deciduous broadleaf forest; EBF, evergreen broadleaf forest; ENF, evergreen needleleaf forest; GRA, grassland; MF, mixed forest; OSH, open shrubland; SAV, savannah; WET, wetland. </w:t>
      </w:r>
    </w:p>
    <w:p w14:paraId="4E157CFB" w14:textId="77777777" w:rsidR="00103AF5" w:rsidRDefault="00103AF5" w:rsidP="00103AF5">
      <w:pPr>
        <w:snapToGri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majority of our</w:t>
      </w:r>
      <w:r w:rsidRPr="004F3E51">
        <w:rPr>
          <w:rFonts w:ascii="Times New Roman" w:hAnsi="Times New Roman" w:cs="Times New Roman"/>
          <w:sz w:val="24"/>
          <w:szCs w:val="24"/>
        </w:rPr>
        <w:t xml:space="preserve"> study sites are </w:t>
      </w:r>
      <w:r>
        <w:rPr>
          <w:rFonts w:ascii="Times New Roman" w:hAnsi="Times New Roman" w:cs="Times New Roman"/>
          <w:sz w:val="24"/>
          <w:szCs w:val="24"/>
        </w:rPr>
        <w:t>situated</w:t>
      </w:r>
      <w:r w:rsidRPr="004F3E51">
        <w:rPr>
          <w:rFonts w:ascii="Times New Roman" w:hAnsi="Times New Roman" w:cs="Times New Roman"/>
          <w:sz w:val="24"/>
          <w:szCs w:val="24"/>
        </w:rPr>
        <w:t xml:space="preserve"> in suburban and rural areas</w:t>
      </w:r>
      <w:r>
        <w:rPr>
          <w:rFonts w:ascii="Times New Roman" w:hAnsi="Times New Roman" w:cs="Times New Roman"/>
          <w:sz w:val="24"/>
          <w:szCs w:val="24"/>
        </w:rPr>
        <w:t xml:space="preserve">. However, several peri-urban sites are also included, located </w:t>
      </w:r>
      <w:r w:rsidRPr="004F3E51">
        <w:rPr>
          <w:rFonts w:ascii="Times New Roman" w:hAnsi="Times New Roman" w:cs="Times New Roman"/>
          <w:sz w:val="24"/>
          <w:szCs w:val="24"/>
        </w:rPr>
        <w:t xml:space="preserve">in close proximity to major </w:t>
      </w:r>
      <w:r>
        <w:rPr>
          <w:rFonts w:ascii="Times New Roman" w:hAnsi="Times New Roman" w:cs="Times New Roman"/>
          <w:sz w:val="24"/>
          <w:szCs w:val="24"/>
        </w:rPr>
        <w:t xml:space="preserve">European </w:t>
      </w:r>
      <w:r w:rsidRPr="004F3E51">
        <w:rPr>
          <w:rFonts w:ascii="Times New Roman" w:hAnsi="Times New Roman" w:cs="Times New Roman"/>
          <w:sz w:val="24"/>
          <w:szCs w:val="24"/>
        </w:rPr>
        <w:t>metropolitan areas</w:t>
      </w:r>
      <w:r>
        <w:rPr>
          <w:rFonts w:ascii="Times New Roman" w:hAnsi="Times New Roman" w:cs="Times New Roman"/>
          <w:sz w:val="24"/>
          <w:szCs w:val="24"/>
        </w:rPr>
        <w:t xml:space="preserve">. These include </w:t>
      </w:r>
      <w:r w:rsidRPr="004F3E51">
        <w:rPr>
          <w:rFonts w:ascii="Times New Roman" w:hAnsi="Times New Roman" w:cs="Times New Roman"/>
          <w:sz w:val="24"/>
          <w:szCs w:val="24"/>
        </w:rPr>
        <w:t xml:space="preserve">FR-Fon, </w:t>
      </w:r>
      <w:r>
        <w:rPr>
          <w:rFonts w:ascii="Times New Roman" w:hAnsi="Times New Roman" w:cs="Times New Roman"/>
          <w:sz w:val="24"/>
          <w:szCs w:val="24"/>
        </w:rPr>
        <w:t xml:space="preserve">situated </w:t>
      </w:r>
      <w:r w:rsidRPr="004F3E51">
        <w:rPr>
          <w:rFonts w:ascii="Times New Roman" w:hAnsi="Times New Roman" w:cs="Times New Roman"/>
          <w:sz w:val="24"/>
          <w:szCs w:val="24"/>
        </w:rPr>
        <w:t>50 km from Paris (</w:t>
      </w:r>
      <w:r>
        <w:rPr>
          <w:rFonts w:ascii="Times New Roman" w:hAnsi="Times New Roman" w:cs="Times New Roman"/>
          <w:sz w:val="24"/>
          <w:szCs w:val="24"/>
        </w:rPr>
        <w:t xml:space="preserve">with a population of </w:t>
      </w:r>
      <w:r w:rsidRPr="004F3E51">
        <w:rPr>
          <w:rFonts w:ascii="Times New Roman" w:hAnsi="Times New Roman" w:cs="Times New Roman"/>
          <w:sz w:val="24"/>
          <w:szCs w:val="24"/>
        </w:rPr>
        <w:t xml:space="preserve">13 million inhabitants); IT-Cp2, </w:t>
      </w:r>
      <w:r>
        <w:rPr>
          <w:rFonts w:ascii="Times New Roman" w:hAnsi="Times New Roman" w:cs="Times New Roman"/>
          <w:sz w:val="24"/>
          <w:szCs w:val="24"/>
        </w:rPr>
        <w:t xml:space="preserve">located </w:t>
      </w:r>
      <w:r w:rsidRPr="004F3E51">
        <w:rPr>
          <w:rFonts w:ascii="Times New Roman" w:hAnsi="Times New Roman" w:cs="Times New Roman"/>
          <w:sz w:val="24"/>
          <w:szCs w:val="24"/>
        </w:rPr>
        <w:t>25 km from Rome (</w:t>
      </w:r>
      <w:r>
        <w:rPr>
          <w:rFonts w:ascii="Times New Roman" w:hAnsi="Times New Roman" w:cs="Times New Roman"/>
          <w:sz w:val="24"/>
          <w:szCs w:val="24"/>
        </w:rPr>
        <w:t xml:space="preserve">with a population of </w:t>
      </w:r>
      <w:r w:rsidRPr="004F3E51">
        <w:rPr>
          <w:rFonts w:ascii="Times New Roman" w:hAnsi="Times New Roman" w:cs="Times New Roman"/>
          <w:sz w:val="24"/>
          <w:szCs w:val="24"/>
        </w:rPr>
        <w:t>4.3 million inhabitants); CH-Cha, CH-Fru and CH-Lae</w:t>
      </w:r>
      <w:r>
        <w:rPr>
          <w:rFonts w:ascii="Times New Roman" w:hAnsi="Times New Roman" w:cs="Times New Roman"/>
          <w:sz w:val="24"/>
          <w:szCs w:val="24"/>
        </w:rPr>
        <w:t>, all</w:t>
      </w:r>
      <w:r w:rsidRPr="004F3E51">
        <w:rPr>
          <w:rFonts w:ascii="Times New Roman" w:hAnsi="Times New Roman" w:cs="Times New Roman"/>
          <w:sz w:val="24"/>
          <w:szCs w:val="24"/>
        </w:rPr>
        <w:t xml:space="preserve"> within 30 km from Zürich (</w:t>
      </w:r>
      <w:r>
        <w:rPr>
          <w:rFonts w:ascii="Times New Roman" w:hAnsi="Times New Roman" w:cs="Times New Roman"/>
          <w:sz w:val="24"/>
          <w:szCs w:val="24"/>
        </w:rPr>
        <w:t xml:space="preserve">with a population of </w:t>
      </w:r>
      <w:r w:rsidRPr="004F3E51">
        <w:rPr>
          <w:rFonts w:ascii="Times New Roman" w:hAnsi="Times New Roman" w:cs="Times New Roman"/>
          <w:sz w:val="24"/>
          <w:szCs w:val="24"/>
        </w:rPr>
        <w:t>1.4 million inhabitants); DE-Gri, DE-Hzd, DE-Obe and DE-Tha</w:t>
      </w:r>
      <w:r>
        <w:rPr>
          <w:rFonts w:ascii="Times New Roman" w:hAnsi="Times New Roman" w:cs="Times New Roman"/>
          <w:sz w:val="24"/>
          <w:szCs w:val="24"/>
        </w:rPr>
        <w:t>, all located</w:t>
      </w:r>
      <w:r w:rsidRPr="004F3E51">
        <w:rPr>
          <w:rFonts w:ascii="Times New Roman" w:hAnsi="Times New Roman" w:cs="Times New Roman"/>
          <w:sz w:val="24"/>
          <w:szCs w:val="24"/>
        </w:rPr>
        <w:t xml:space="preserve"> within 30 km </w:t>
      </w:r>
      <w:r w:rsidRPr="004F3E51">
        <w:rPr>
          <w:rFonts w:ascii="Times New Roman" w:hAnsi="Times New Roman" w:cs="Times New Roman"/>
          <w:sz w:val="24"/>
          <w:szCs w:val="24"/>
        </w:rPr>
        <w:lastRenderedPageBreak/>
        <w:t>from Dresden (</w:t>
      </w:r>
      <w:r>
        <w:rPr>
          <w:rFonts w:ascii="Times New Roman" w:hAnsi="Times New Roman" w:cs="Times New Roman"/>
          <w:sz w:val="24"/>
          <w:szCs w:val="24"/>
        </w:rPr>
        <w:t xml:space="preserve">with a population of </w:t>
      </w:r>
      <w:r w:rsidRPr="004F3E51">
        <w:rPr>
          <w:rFonts w:ascii="Times New Roman" w:hAnsi="Times New Roman" w:cs="Times New Roman"/>
          <w:sz w:val="24"/>
          <w:szCs w:val="24"/>
        </w:rPr>
        <w:t xml:space="preserve">1.3 million inhabitants); </w:t>
      </w:r>
      <w:r>
        <w:rPr>
          <w:rFonts w:ascii="Times New Roman" w:hAnsi="Times New Roman" w:cs="Times New Roman"/>
          <w:sz w:val="24"/>
          <w:szCs w:val="24"/>
        </w:rPr>
        <w:t xml:space="preserve">and </w:t>
      </w:r>
      <w:r w:rsidRPr="004F3E51">
        <w:rPr>
          <w:rFonts w:ascii="Times New Roman" w:hAnsi="Times New Roman" w:cs="Times New Roman"/>
          <w:sz w:val="24"/>
          <w:szCs w:val="24"/>
        </w:rPr>
        <w:t xml:space="preserve">BE-Bra, </w:t>
      </w:r>
      <w:r>
        <w:rPr>
          <w:rFonts w:ascii="Times New Roman" w:hAnsi="Times New Roman" w:cs="Times New Roman"/>
          <w:sz w:val="24"/>
          <w:szCs w:val="24"/>
        </w:rPr>
        <w:t xml:space="preserve">situated </w:t>
      </w:r>
      <w:r w:rsidRPr="004F3E51">
        <w:rPr>
          <w:rFonts w:ascii="Times New Roman" w:hAnsi="Times New Roman" w:cs="Times New Roman"/>
          <w:sz w:val="24"/>
          <w:szCs w:val="24"/>
        </w:rPr>
        <w:t>13 km from Antwerp (</w:t>
      </w:r>
      <w:r>
        <w:rPr>
          <w:rFonts w:ascii="Times New Roman" w:hAnsi="Times New Roman" w:cs="Times New Roman"/>
          <w:sz w:val="24"/>
          <w:szCs w:val="24"/>
        </w:rPr>
        <w:t xml:space="preserve">with a population of </w:t>
      </w:r>
      <w:r w:rsidRPr="004F3E51">
        <w:rPr>
          <w:rFonts w:ascii="Times New Roman" w:hAnsi="Times New Roman" w:cs="Times New Roman"/>
          <w:sz w:val="24"/>
          <w:szCs w:val="24"/>
        </w:rPr>
        <w:t>1.1 million inhabitants).</w:t>
      </w:r>
    </w:p>
    <w:p w14:paraId="29687BD5" w14:textId="77777777" w:rsidR="00103AF5" w:rsidRDefault="00103AF5" w:rsidP="00103AF5">
      <w:pPr>
        <w:snapToGrid w:val="0"/>
        <w:spacing w:after="0" w:line="480" w:lineRule="auto"/>
        <w:rPr>
          <w:rFonts w:ascii="Times New Roman" w:hAnsi="Times New Roman" w:cs="Times New Roman"/>
          <w:sz w:val="24"/>
          <w:szCs w:val="24"/>
        </w:rPr>
      </w:pPr>
      <w:r>
        <w:rPr>
          <w:rFonts w:ascii="Times New Roman" w:hAnsi="Times New Roman" w:cs="Times New Roman"/>
          <w:sz w:val="24"/>
          <w:szCs w:val="24"/>
        </w:rPr>
        <w:tab/>
        <w:t>The CO</w:t>
      </w:r>
      <w:r w:rsidRPr="00E44B13">
        <w:rPr>
          <w:rFonts w:ascii="Times New Roman" w:hAnsi="Times New Roman" w:cs="Times New Roman"/>
          <w:sz w:val="24"/>
          <w:szCs w:val="24"/>
          <w:vertAlign w:val="subscript"/>
        </w:rPr>
        <w:t>2</w:t>
      </w:r>
      <w:r>
        <w:rPr>
          <w:rFonts w:ascii="Times New Roman" w:hAnsi="Times New Roman" w:cs="Times New Roman"/>
          <w:sz w:val="24"/>
          <w:szCs w:val="24"/>
        </w:rPr>
        <w:t xml:space="preserve"> flux data used in this study were subjected to quality control and processed using standardized procedures described in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{"citationItems":[{"id":"ITEM-1","itemData":{"DOI":"10.1038/s41597-020-0534-3","ISSN":"20524463","PMID":"32647314","abstract":"The FLUXNET2015 dataset provides ecosystem-scale data on CO2, water, and energy exchange between the biosphere and the atmosphere, and other meteorological and biological measurements, from 212 sites around the globe (over 1500 site-years, up to and including year 2014). These sites, independently managed and operated, voluntarily contributed their data to create global datasets. Data were quality controlled and processed using uniform methods, to improve consistency and intercomparability across sites. The dataset is already being used in a number of applications, including ecophysiology studies, remote sensing studies, and development of ecosystem and Earth system models. FLUXNET2015 includes derived-data products, such as gap-filled time series, ecosystem respiration and photosynthetic uptake estimates, estimation of uncertainties, and metadata about the measurements, presented for the first time in this paper. In addition, 206 of these sites are for the first time distributed under a Creative Commons (CC-BY 4.0) license. This paper details this enhanced dataset and the processing methods, now made available as open-source codes, making the dataset more accessible, transparent, and reproducible.","author":[{"dropping-particle":"","family":"Pastorello","given":"Gilberto","non-dropping-particle":"","parse-names":false,"suffix":""},{"dropping-particle":"","family":"Trotta","given":"Carlo","non-dropping-particle":"","parse-names":false,"suffix":""},{"dropping-particle":"","family":"Canfora","given":"Eleonora","non-dropping-particle":"","parse-names":false,"suffix":""},{"dropping-particle":"","family":"Chu","given":"Housen","non-dropping-particle":"","parse-names":false,"suffix":""},{"dropping-particle":"","family":"Christianson","given":"Danielle","non-dropping-particle":"","parse-names":false,"suffix":""},{"dropping-particle":"","family":"Cheah","given":"You Wei","non-dropping-particle":"","parse-names":false,"suffix":""},{"dropping-particle":"","family":"Poindexter","given":"Cristina","non-dropping-particle":"","parse-names":false,"suffix":""},{"dropping-particle":"","family":"Chen","given":"Jiquan","non-dropping-particle":"","parse-names":false,"suffix":""},{"dropping-particle":"","family":"Elbashandy","given":"Abdelrahman","non-dropping-particle":"","parse-names":false,"suffix":""},{"dropping-particle":"","family":"Humphrey","given":"Marty","non-dropping-particle":"","parse-names":false,"suffix":""},{"dropping-particle":"","family":"Isaac","given":"Peter","non-dropping-particle":"","parse-names":false,"suffix":""},{"dropping-particle":"","family":"Polidori","given":"Diego","non-dropping-particle":"","parse-names":false,"suffix":""},{"dropping-particle":"","family":"Ribeca","given":"Alessio","non-dropping-particle":"","parse-names":false,"suffix":""},{"dropping-particle":"","family":"Ingen","given":"Catharine","non-dropping-particle":"van","parse-names":false,"suffix":""},{"dropping-particle":"","family":"Zhang","given":"Leiming","non-dropping-particle":"","parse-names":false,"suffix":""},{"dropping-particle":"","family":"Amiro","given":"Brian","non-dropping-particle":"","parse-names":false,"suffix":""},{"dropping-particle":"","family":"Ammann","given":"Christof","non-dropping-particle":"","parse-names":false,"suffix":""},{"dropping-particle":"","family":"Arain","given":"M. Altaf","non-dropping-particle":"","parse-names":false,"suffix":""},{"dropping-particle":"","family":"Ardö","given":"Jonas","non-dropping-particle":"","parse-names":false,"suffix":""},{"dropping-particle":"","family":"Arkebauer","given":"Timothy","non-dropping-particle":"","parse-names":false,"suffix":""},{"dropping-particle":"","family":"Arndt","given":"Stefan K.","non-dropping-particle":"","parse-names":false,"suffix":""},{"dropping-particle":"","family":"Arriga","given":"Nicola","non-dropping-particle":"","parse-names":false,"suffix":""},{"dropping-particle":"","family":"Aubinet","given":"Marc","non-dropping-particle":"","parse-names":false,"suffix":""},{"dropping-particle":"","family":"Aurela","given":"Mika","non-dropping-particle":"","parse-names":false,"suffix":""},{"dropping-particle":"","family":"Baldocchi","given":"Dennis","non-dropping-particle":"","parse-names":false,"suffix":""},{"dropping-particle":"","family":"Barr","given":"Alan","non-dropping-particle":"","parse-names":false,"suffix":""},{"dropping-particle":"","family":"Beamesderfer","given":"Eric","non-dropping-particle":"","parse-names":false,"suffix":""},{"dropping-particle":"","family":"Marchesini","given":"Luca Belelli","non-dropping-particle":"","parse-names":false,"suffix":""},{"dropping-particle":"","family":"Bergeron","given":"Onil","non-dropping-particle":"","parse-names":false,"suffix":""},{"dropping-particle":"","family":"Beringer","given":"Jason","non-dropping-particle":"","parse-names":false,"suffix":""},{"dropping-particle":"","family":"Bernhofer","given":"Christian","non-dropping-particle":"","parse-names":false,"suffix":""},{"dropping-particle":"","family":"Berveiller","given":"Daniel","non-dropping-particle":"","parse-names":false,"suffix":""},{"dropping-particle":"","family":"Billesbach","given":"Dave","non-dropping-particle":"","parse-names":false,"suffix":""},{"dropping-particle":"","family":"Black","given":"Thomas Andrew","non-dropping-particle":"","parse-names":false,"suffix":""},{"dropping-particle":"","family":"Blanken","given":"Peter D.","non-dropping-particle":"","parse-names":false,"suffix":""},{"dropping-particle":"","family":"Bohrer","given":"Gil","non-dropping-particle":"","parse-names":false,"suffix":""},{"dropping-particle":"","family":"Boike","given":"Julia","non-dropping-particle":"","parse-names":false,"suffix":""},{"dropping-particle":"V.","family":"Bolstad","given":"Paul","non-dropping-particle":"","parse-names":false,"suffix":""},{"dropping-particle":"","family":"Bonal","given":"Damien","non-dropping-particle":"","parse-names":false,"suffix":""},{"dropping-particle":"","family":"Bonnefond","given":"Jean Marc","non-dropping-particle":"","parse-names":false,"suffix":""},{"dropping-particle":"","family":"Bowling","given":"David R.","non-dropping-particle":"","parse-names":false,"suffix":""},{"dropping-particle":"","family":"Bracho","given":"Rosvel","non-dropping-particle":"","parse-names":false,"suffix":""},{"dropping-particle":"","family":"Brodeur","given":"Jason","non-dropping-particle":"","parse-names":false,"suffix":""},{"dropping-particle":"","family":"Brümmer","given":"Christian","non-dropping-particle":"","parse-names":false,"suffix":""},{"dropping-particle":"","family":"Buchmann","given":"Nina","non-dropping-particle":"","parse-names":false,"suffix":""},{"dropping-particle":"","family":"Burban","given":"Benoit","non-dropping-particle":"","parse-names":false,"suffix":""},{"dropping-particle":"","family":"Burns","given":"Sean P.","non-dropping-particle":"","parse-names":false,"suffix":""},{"dropping-particle":"","family":"Buysse","given":"Pauline","non-dropping-particle":"","parse-names":false,"suffix":""},{"dropping-particle":"","family":"Cale","given":"Peter","non-dropping-particle":"","parse-names":false,"suffix":""},{"dropping-particle":"","family":"Cavagna","given":"Mauro","non-dropping-particle":"","parse-names":false,"suffix":""},{"dropping-particle":"","family":"Cellier","given":"Pierre","non-dropping-particle":"","parse-names":false,"suffix":""},{"dropping-particle":"","family":"Chen","given":"Shiping","non-dropping-particle":"","parse-names":false,"suffix":""},{"dropping-particle":"","family":"Chini","given":"Isaac","non-dropping-particle":"","parse-names":false,"suffix":""},{"dropping-particle":"","family":"Christensen","given":"Torben R.","non-dropping-particle":"","parse-names":false,"suffix":""},{"dropping-particle":"","family":"Cleverly","given":"James","non-dropping-particle":"","parse-names":false,"suffix":""},{"dropping-particle":"","family":"Collalti","given":"Alessio","non-dropping-particle":"","parse-names":false,"suffix":""},{"dropping-particle":"","family":"Consalvo","given":"Claudia","non-dropping-particle":"","parse-names":false,"suffix":""},{"dropping-particle":"","family":"Cook","given":"Bruce D.","non-dropping-particle":"","parse-names":false,"suffix":""},{"dropping-particle":"","family":"Cook","given":"David","non-dropping-particle":"","parse-names":false,"suffix":""},{"dropping-particle":"","family":"Coursolle","given":"Carole","non-dropping-particle":"","parse-names":false,"suffix":""},{"dropping-particle":"","family":"Cremonese","given":"Edoardo","non-dropping-particle":"","parse-names":false,"suffix":""},{"dropping-particle":"","family":"Curtis","given":"Peter S.","non-dropping-particle":"","parse-names":false,"suffix":""},{"dropping-particle":"","family":"D'Andrea","given":"Ettore","non-dropping-particle":"","parse-names":false,"suffix":""},{"dropping-particle":"","family":"Rocha","given":"Humberto","non-dropping-particle":"da","parse-names":false,"suffix":""},{"dropping-particle":"","family":"Dai","given":"Xiaoqin","non-dropping-particle":"","parse-names":false,"suffix":""},{"dropping-particle":"","family":"Davis","given":"Kenneth J.","non-dropping-particle":"","parse-names":false,"suffix":""},{"dropping-particle":"","family":"Cinti","given":"Bruno","non-dropping-particle":"De","parse-names":false,"suffix":""},{"dropping-particle":"","family":"Grandcourt","given":"Agnes","non-dropping-particle":"de","parse-names":false,"suffix":""},{"dropping-particle":"","family":"Ligne","given":"Anne","non-dropping-particle":"De","parse-names":false,"suffix":""},{"dropping-particle":"","family":"Oliveira","given":"Raimundo C.","non-dropping-particle":"De","parse-names":false,"suffix":""},{"dropping-particle":"","family":"Delpierre","given":"Nicolas","non-dropping-particle":"","parse-names":false,"suffix":""},{"dropping-particle":"","family":"Desai","given":"Ankur R.","non-dropping-particle":"","parse-names":false,"suffix":""},{"dropping-particle":"","family":"Bella","given":"Carlos Marcelo","non-dropping-particle":"Di","parse-names":false,"suffix":""},{"dropping-particle":"","family":"Tommasi","given":"Paul","non-dropping-particle":"di","parse-names":false,"suffix":""},{"dropping-particle":"","family":"Dolman","given":"Han","non-dropping-particle":"","parse-names":false,"suffix":""},{"dropping-particle":"","family":"Domingo","given":"Francisco","non-dropping-particle":"","parse-names":false,"suffix":""},{"dropping-particle":"","family":"Dong","given":"Gang","non-dropping-particle":"","parse-names":false,"suffix":""},{"dropping-particle":"","family":"Dore","given":"Sabina","non-dropping-particle":"","parse-names":false,"suffix":""},{"dropping-particle":"","family":"Duce","given":"Pierpaolo","non-dropping-particle":"","parse-names":false,"suffix":""},{"dropping-particle":"","family":"Dufrêne","given":"Eric","non-dropping-particle":"","parse-names":false,"suffix":""},{"dropping-particle":"","family":"Dunn","given":"Allison","non-dropping-particle":"","parse-names":false,"suffix":""},{"dropping-particle":"","family":"Dušek","given":"Jiří","non-dropping-particle":"","parse-names":false,"suffix":""},{"dropping-particle":"","family":"Eamus","given":"Derek","non-dropping-particle":"","parse-names":false,"suffix":""},{"dropping-particle":"","family":"Eichelmann","given":"Uwe","non-dropping-particle":"","parse-names":false,"suffix":""},{"dropping-particle":"","family":"ElKhidir","given":"Hatim Abdalla M.","non-dropping-particle":"","parse-names":false,"suffix":""},{"dropping-particle":"","family":"Eugster","given":"Werner","non-dropping-particle":"","parse-names":false,"suffix":""},{"dropping-particle":"","family":"Ewenz","given":"Cacilia M.","non-dropping-particle":"","parse-names":false,"suffix":""},{"dropping-particle":"","family":"Ewers","given":"Brent","non-dropping-particle":"","parse-names":false,"suffix":""},{"dropping-particle":"","family":"Famulari","given":"Daniela","non-dropping-particle":"","parse-names":false,"suffix":""},{"dropping-particle":"","family":"Fares","given":"Silvano","non-dropping-particle":"","parse-names":false,"suffix":""},{"dropping-particle":"","family":"Feigenwinter","given":"Iris","non-dropping-particle":"","parse-names":false,"suffix":""},{"dropping-particle":"","family":"Feitz","given":"Andrew","non-dropping-particle":"","parse-names":false,"suffix":""},{"dropping-particle":"","family":"Fensholt","given":"Rasmus","non-dropping-particle":"","parse-names":false,"suffix":""},{"dropping-particle":"","family":"Filippa","given":"Gianluca","non-dropping-particle":"","parse-names":false,"suffix":""},{"dropping-particle":"","family":"Fischer","given":"Marc","non-dropping-particle":"","parse-names":false,"suffix":""},{"dropping-particle":"","family":"Frank","given":"John","non-dropping-particle":"","parse-names":false,"suffix":""},{"dropping-particle":"","family":"Galvagno","given":"Marta","non-dropping-particle":"","parse-names":false,"suffix":""},{"dropping-particle":"","family":"Gharun","given":"Mana","non-dropping-particle":"","parse-names":false,"suffix":""},{"dropping-particle":"","family":"Gianelle","given":"Damiano","non-dropping-particle":"","parse-names":false,"suffix":""},{"dropping-particle":"","family":"Gielen","given":"Bert","non-dropping-particle":"","parse-names":false,"suffix":""},{"dropping-particle":"","family":"Gioli","given":"Beniamino","non-dropping-particle":"","parse-names":false,"suffix":""},{"dropping-particle":"","family":"Gitelson","given":"Anatoly","non-dropping-particle":"","parse-names":false,"suffix":""},{"dropping-particle":"","family":"Goded","given":"Ignacio","non-dropping-particle":"","parse-names":false,"suffix":""},{"dropping-particle":"","family":"Goeckede","given":"Mathias","non-dropping-particle":"","parse-names":false,"suffix":""},{"dropping-particle":"","family":"Goldstein","given":"Allen H.","non-dropping-particle":"","parse-names":false,"suffix":""},{"dropping-particle":"","family":"Gough","given":"Christopher M.","non-dropping-particle":"","parse-names":false,"suffix":""},{"dropping-particle":"","family":"Goulden","given":"Michael L.","non-dropping-particle":"","parse-names":false,"suffix":""},{"dropping-particle":"","family":"Graf","given":"Alexander","non-dropping-particle":"","parse-names":false,"suffix":""},{"dropping-particle":"","family":"Griebel","given":"Anne","non-dropping-particle":"","parse-names":false,"suffix":""},{"dropping-particle":"","family":"Gruening","given":"Carsten","non-dropping-particle":"","parse-names":false,"suffix":""},{"dropping-particle":"","family":"Grünwald","given":"Thomas","non-dropping-particle":"","parse-names":false,"suffix":""},{"dropping-particle":"","family":"Hammerle","given":"Albin","non-dropping-particle":"","parse-names":false,"suffix":""},{"dropping-particle":"","family":"Han","given":"Shijie","non-dropping-particle":"","parse-names":false,"suffix":""},{"dropping-particle":"","family":"Han","given":"Xingguo","non-dropping-particle":"","parse-names":false,"suffix":""},{"dropping-particle":"","family":"Hansen","given":"Birger Ulf","non-dropping-particle":"","parse-names":false,"suffix":""},{"dropping-particle":"","family":"Hanson","given":"Chad","non-dropping-particle":"","parse-names":false,"suffix":""},{"dropping-particle":"","family":"Hatakka","given":"Juha","non-dropping-particle":"","parse-names":false,"suffix":""},{"dropping-particle":"","family":"He","given":"Yongtao","non-dropping-particle":"","parse-names":false,"suffix":""},{"dropping-particle":"","family":"Hehn","given":"Markus","non-dropping-particle":"","parse-names":false,"suffix":""},{"dropping-particle":"","family":"Heinesch","given":"Bernard","non-dropping-particle":"","parse-names":false,"suffix":""},{"dropping-particle":"","family":"Hinko-Najera","given":"Nina","non-dropping-particle":"","parse-names":false,"suffix":""},{"dropping-particle":"","family":"Hörtnagl","given":"Lukas","non-dropping-particle":"","parse-names":false,"suffix":""},{"dropping-particle":"","family":"Hutley","given":"Lindsay","non-dropping-particle":"","parse-names":false,"suffix":""},{"dropping-particle":"","family":"Ibrom","given":"Andreas","non-dropping-particle":"","parse-names":false,"suffix":""},{"dropping-particle":"","family":"Ikawa","given":"Hiroki","non-dropping-particle":"","parse-names":false,"suffix":""},{"dropping-particle":"","family":"Jackowicz-Korczynski","given":"Marcin","non-dropping-particle":"","parse-names":false,"suffix":""},{"dropping-particle":"","family":"Janouš","given":"Dalibor","non-dropping-particle":"","parse-names":false,"suffix":""},{"dropping-particle":"","family":"Jans","given":"Wilma","non-dropping-particle":"","parse-names":false,"suffix":""},{"dropping-particle":"","family":"Jassal","given":"Rachhpal","non-dropping-particle":"","parse-names":false,"suffix":""},{"dropping-particle":"","family":"Jiang","given":"Shicheng","non-dropping-particle":"","parse-names":false,"suffix":""},{"dropping-particle":"","family":"Kato","given":"Tomomichi","non-dropping-particle":"","parse-names":false,"suffix":""},{"dropping-particle":"","family":"Khomik","given":"Myroslava","non-dropping-particle":"","parse-names":false,"suffix":""},{"dropping-particle":"","family":"Klatt","given":"Janina","non-dropping-particle":"","parse-names":false,"suffix":""},{"dropping-particle":"","family":"Knohl","given":"Alexander","non-dropping-particle":"","parse-names":false,"suffix":""},{"dropping-particle":"","family":"Knox","given":"Sara","non-dropping-particle":"","parse-names":false,"suffix":""},{"dropping-particle":"","family":"Kobayashi","given":"Hideki","non-dropping-particle":"","parse-names":false,"suffix":""},{"dropping-particle":"","family":"Koerber","given":"Georgia","non-dropping-particle":"","parse-names":false,"suffix":""},{"dropping-particle":"","family":"Kolle","given":"Olaf","non-dropping-particle":"","parse-names":false,"suffix":""},{"dropping-particle":"","family":"Kosugi","given":"Yoshiko","non-dropping-particle":"","parse-names":false,"suffix":""},{"dropping-particle":"","family":"Kotani","given":"Ayumi","non-dropping-particle":"","parse-names":false,"suffix":""},{"dropping-particle":"","family":"Kowalski","given":"Andrew","non-dropping-particle":"","parse-names":false,"suffix":""},{"dropping-particle":"","family":"Kruijt","given":"Bart","non-dropping-particle":"","parse-names":false,"suffix":""},{"dropping-particle":"","family":"Kurbatova","given":"Julia","non-dropping-particle":"","parse-names":false,"suffix":""},{"dropping-particle":"","family":"Kutsch","given":"Werner L.","non-dropping-particle":"","parse-names":false,"suffix":""},{"dropping-particle":"","family":"Kwon","given":"Hyojung","non-dropping-particle":"","parse-names":false,"suffix":""},{"dropping-particle":"","family":"Launiainen","given":"Samuli","non-dropping-particle":"","parse-names":false,"suffix":""},{"dropping-particle":"","family":"Laurila","given":"Tuomas","non-dropping-particle":"","parse-names":false,"suffix":""},{"dropping-particle":"","family":"Law","given":"Bev","non-dropping-particle":"","parse-names":false,"suffix":""},{"dropping-particle":"","family":"Leuning","given":"Ray","non-dropping-particle":"","parse-names":false,"suffix":""},{"dropping-particle":"","family":"Li","given":"Yingnian","non-dropping-particle":"","parse-names":false,"suffix":""},{"dropping-particle":"","family":"Liddell","given":"Michael","non-dropping-particle":"","parse-names":false,"suffix":""},{"dropping-particle":"","family":"Limousin","given":"Jean Marc","non-dropping-particle":"","parse-names":false,"suffix":""},{"dropping-particle":"","family":"Lion","given":"Marryanna","non-dropping-particle":"","parse-names":false,"suffix":""},{"dropping-particle":"","family":"Liska","given":"Adam J.","non-dropping-particle":"","parse-names":false,"suffix":""},{"dropping-particle":"","family":"Lohila","given":"Annalea","non-dropping-particle":"","parse-names":false,"suffix":""},{"dropping-particle":"","family":"López-Ballesteros","given":"Ana","non-dropping-particle":"","parse-names":false,"suffix":""},{"dropping-particle":"","family":"López-Blanco","given":"Efrén","non-dropping-particle":"","parse-names":false,"suffix":""},{"dropping-particle":"","family":"Loubet","given":"Benjamin","non-dropping-particle":"","parse-names":false,"suffix":""},{"dropping-particle":"","family":"Loustau","given":"Denis","non-dropping-particle":"","parse-names":false,"suffix":""},{"dropping-particle":"","family":"Lucas-Moffat","given":"Antje","non-dropping-particle":"","parse-names":false,"suffix":""},{"dropping-particle":"","family":"Lüers","given":"Johannes","non-dropping-particle":"","parse-names":false,"suffix":""},{"dropping-particle":"","family":"Ma","given":"Siyan","non-dropping-particle":"","parse-names":false,"suffix":""},{"dropping-particle":"","family":"Macfarlane","given":"Craig","non-dropping-particle":"","parse-names":false,"suffix":""},{"dropping-particle":"","family":"Magliulo","given":"Vincenzo","non-dropping-particle":"","parse-names":false,"suffix":""},{"dropping-particle":"","family":"Maier","given":"Regine","non-dropping-particle":"","parse-names":false,"suffix":""},{"dropping-particle":"","family":"Mammarella","given":"Ivan","non-dropping-particle":"","parse-names":false,"suffix":""},{"dropping-particle":"","family":"Manca","given":"Giovanni","non-dropping-particle":"","parse-names":false,"suffix":""},{"dropping-particle":"","family":"Marcolla","given":"Barbara","non-dropping-particle":"","parse-names":false,"suffix":""},{"dropping-particle":"","family":"Margolis","given":"Hank A.","non-dropping-particle":"","parse-names":false,"suffix":""},{"dropping-particle":"","family":"Marras","given":"Serena","non-dropping-particle":"","parse-names":false,"suffix":""},{"dropping-particle":"","family":"Massman","given":"William","non-dropping-particle":"","parse-names":false,"suffix":""},{"dropping-particle":"","family":"Mastepanov","given":"Mikhail","non-dropping-particle":"","parse-names":false,"suffix":""},{"dropping-particle":"","family":"Matamala","given":"Roser","non-dropping-particle":"","parse-names":false,"suffix":""},{"dropping-particle":"","family":"Matthes","given":"Jaclyn Hatala","non-dropping-particle":"","parse-names":false,"suffix":""},{"dropping-particle":"","family":"Mazzenga","given":"Francesco","non-dropping-particle":"","parse-names":false,"suffix":""},{"dropping-particle":"","family":"McCaughey","given":"Harry","non-dropping-particle":"","parse-names":false,"suffix":""},{"dropping-particle":"","family":"McHugh","given":"Ian","non-dropping-particle":"","parse-names":false,"suffix":""},{"dropping-particle":"","family":"McMillan","given":"Andrew M.S.","non-dropping-particle":"","parse-names":false,"suffix":""},{"dropping-particle":"","family":"Merbold","given":"Lutz","non-dropping-particle":"","parse-names":false,"suffix":""},{"dropping-particle":"","family":"Meyer","given":"Wayne","non-dropping-particle":"","parse-names":false,"suffix":""},{"dropping-particle":"","family":"Meyers","given":"Tilden","non-dropping-particle":"","parse-names":false,"suffix":""},{"dropping-particle":"","family":"Miller","given":"Scott D.","non-dropping-particle":"","parse-names":false,"suffix":""},{"dropping-particle":"","family":"Minerbi","given":"Stefano","non-dropping-particle":"","parse-names":false,"suffix":""},{"dropping-particle":"","family":"Moderow","given":"Uta","non-dropping-particle":"","parse-names":false,"suffix":""},{"dropping-particle":"","family":"Monson","given":"Russell K.","non-dropping-particle":"","parse-names":false,"suffix":""},{"dropping-particle":"","family":"Montagnani","given":"Leonardo","non-dropping-particle":"","parse-names":false,"suffix":""},{"dropping-particle":"","family":"Moore","given":"Caitlin E.","non-dropping-particle":"","parse-names":false,"suffix":""},{"dropping-particle":"","family":"Moors","given":"Eddy","non-dropping-particle":"","parse-names":false,"suffix":""},{"dropping-particle":"","family":"Moreaux","given":"Virginie","non-dropping-particle":"","parse-names":false,"suffix":""},{"dropping-particle":"","family":"Moureaux","given":"Christine","non-dropping-particle":"","parse-names":false,"suffix":""},{"dropping-particle":"","family":"Munger","given":"J. William","non-dropping-particle":"","parse-names":false,"suffix":""},{"dropping-particle":"","family":"Nakai","given":"Taro","non-dropping-particle":"","parse-names":false,"suffix":""},{"dropping-particle":"","family":"Neirynck","given":"Johan","non-dropping-particle":"","parse-names":false,"suffix":""},{"dropping-particle":"","family":"Nesic","given":"Zoran","non-dropping-particle":"","parse-names":false,"suffix":""},{"dropping-particle":"","family":"Nicolini","given":"Giacomo","non-dropping-particle":"","parse-names":false,"suffix":""},{"dropping-particle":"","family":"Noormets","given":"Asko","non-dropping-particle":"","parse-names":false,"suffix":""},{"dropping-particle":"","family":"Northwood","given":"Matthew","non-dropping-particle":"","parse-names":false,"suffix":""},{"dropping-particle":"","family":"Nosetto","given":"Marcelo","non-dropping-particle":"","parse-names":false,"suffix":""},{"dropping-particle":"","family":"Nouvellon","given":"Yann","non-dropping-particle":"","parse-names":false,"suffix":""},{"dropping-particle":"","family":"Novick","given":"Kimberly","non-dropping-particle":"","parse-names":false,"suffix":""},{"dropping-particle":"","family":"Oechel","given":"Walter","non-dropping-particle":"","parse-names":false,"suffix":""},{"dropping-particle":"","family":"Olesen","given":"Jørgen Eivind","non-dropping-particle":"","parse-names":false,"suffix":""},{"dropping-particle":"","family":"Ourcival","given":"Jean Marc","non-dropping-particle":"","parse-names":false,"suffix":""},{"dropping-particle":"","family":"Papuga","given":"Shirley A.","non-dropping-particle":"","parse-names":false,"suffix":""},{"dropping-particle":"","family":"Parmentier","given":"Frans Jan","non-dropping-particle":"","parse-names":false,"suffix":""},{"dropping-particle":"","family":"Paul-Limoges","given":"Eugenie","non-dropping-particle":"","parse-names":false,"suffix":""},{"dropping-particle":"","family":"Pavelka","given":"Marian","non-dropping-particle":"","parse-names":false,"suffix":""},{"dropping-particle":"","family":"Peichl","given":"Matthias","non-dropping-particle":"","parse-names":false,"suffix":""},{"dropping-particle":"","family":"Pendall","given":"Elise","non-dropping-particle":"","parse-names":false,"suffix":""},{"dropping-particle":"","family":"Phillips","given":"Richard P.","non-dropping-particle":"","parse-names":false,"suffix":""},{"dropping-particle":"","family":"Pilegaard","given":"Kim","non-dropping-particle":"","parse-names":false,"suffix":""},{"dropping-particle":"","family":"Pirk","given":"Norbert","non-dropping-particle":"","parse-names":false,"suffix":""},{"dropping-particle":"","family":"Posse","given":"Gabriela","non-dropping-particle":"","parse-names":false,"suffix":""},{"dropping-particle":"","family":"Powell","given":"Thomas","non-dropping-particle":"","parse-names":false,"suffix":""},{"dropping-particle":"","family":"Prasse","given":"Heiko","non-dropping-particle":"","parse-names":false,"suffix":""},{"dropping-particle":"","family":"Prober","given":"Suzanne M.","non-dropping-particle":"","parse-names":false,"suffix":""},{"dropping-particle":"","family":"Rambal","given":"Serge","non-dropping-particle":"","parse-names":false,"suffix":""},{"dropping-particle":"","family":"Rannik","given":"Üllar","non-dropping-particle":"","parse-names":false,"suffix":""},{"dropping-particle":"","family":"Raz-Yaseef","given":"Naama","non-dropping-particle":"","parse-names":false,"suffix":""},{"dropping-particle":"","family":"Reed","given":"David","non-dropping-particle":"","parse-names":false,"suffix":""},{"dropping-particle":"","family":"Dios","given":"Victor Resco","non-dropping-particle":"de","parse-names":false,"suffix":""},{"dropping-particle":"","family":"Restrepo-Coupe","given":"Natalia","non-dropping-particle":"","parse-names":false,"suffix":""},{"dropping-particle":"","family":"Reverter","given":"Borja R.","non-dropping-particle":"","parse-names":false,"suffix":""},{"dropping-particle":"","family":"Roland","given":"Marilyn","non-dropping-particle":"","parse-names":false,"suffix":""},{"dropping-particle":"","family":"Sabbatini","given":"Simone","non-dropping-particle":"","parse-names":false,"suffix":""},{"dropping-particle":"","family":"Sachs","given":"Torsten","non-dropping-particle":"","parse-names":false,"suffix":""},{"dropping-particle":"","family":"Saleska","given":"Scott R.","non-dropping-particle":"","parse-names":false,"suffix":""},{"dropping-particle":"","family":"Sánchez-Cañete","given":"Enrique P.","non-dropping-particle":"","parse-names":false,"suffix":""},{"dropping-particle":"","family":"Sanchez-Mejia","given":"Zulia M.","non-dropping-particle":"","parse-names":false,"suffix":""},{"dropping-particle":"","family":"Schmid","given":"Hans Peter","non-dropping-particle":"","parse-names":false,"suffix":""},{"dropping-particle":"","family":"Schmidt","given":"Marius","non-dropping-particle":"","parse-names":false,"suffix":""},{"dropping-particle":"","family":"Schneider","given":"Karl","non-dropping-particle":"","parse-names":false,"suffix":""},{"dropping-particle":"","family":"Schrader","given":"Frederik","non-dropping-particle":"","parse-names":false,"suffix":""},{"dropping-particle":"","family":"Schroder","given":"Ivan","non-dropping-particle":"","parse-names":false,"suffix":""},{"dropping-particle":"","family":"Scott","given":"Russell L.","non-dropping-particle":"","parse-names":false,"suffix":""},{"dropping-particle":"","family":"Sedlák","given":"Pavel","non-dropping-particle":"","parse-names":false,"suffix":""},{"dropping-particle":"","family":"Serrano-Ortíz","given":"Penélope","non-dropping-particle":"","parse-names":false,"suffix":""},{"dropping-particle":"","family":"Shao","given":"Changliang","non-dropping-particle":"","parse-names":false,"suffix":""},{"dropping-particle":"","family":"Shi","given":"Peili","non-dropping-particle":"","parse-names":false,"suffix":""},{"dropping-particle":"","family":"Shironya","given":"Ivan","non-dropping-particle":"","parse-names":false,"suffix":""},{"dropping-particle":"","family":"Siebicke","given":"Lukas","non-dropping-particle":"","parse-names":false,"suffix":""},{"dropping-particle":"","family":"Šigut","given":"Ladislav","non-dropping-particle":"","parse-names":false,"suffix":""},{"dropping-particle":"","family":"Silberstein","given":"Richard","non-dropping-particle":"","parse-names":false,"suffix":""},{"dropping-particle":"","family":"Sirca","given":"Costantino","non-dropping-particle":"","parse-names":false,"suffix":""},{"dropping-particle":"","family":"Spano","given":"Donatella","non-dropping-particle":"","parse-names":false,"suffix":""},{"dropping-particle":"","family":"Steinbrecher","given":"Rainer","non-dropping-particle":"","parse-names":false,"suffix":""},{"dropping-particle":"","family":"Stevens","given":"Robert M.","non-dropping-particle":"","parse-names":false,"suffix":""},{"dropping-particle":"","family":"Sturtevant","given":"Cove","non-dropping-particle":"","parse-names":false,"suffix":""},{"dropping-particle":"","family":"Suyker","given":"Andy","non-dropping-particle":"","parse-names":false,"suffix":""},{"dropping-particle":"","family":"Tagesson","given":"Torbern","non-dropping-particle":"","parse-names":false,"suffix":""},{"dropping-particle":"","family":"Takanashi","given":"Satoru","non-dropping-particle":"","parse-names":false,"suffix":""},{"dropping-particle":"","family":"Tang","given":"Yanhong","non-dropping-particle":"","parse-names":false,"suffix":""},{"dropping-particle":"","family":"Tapper","given":"Nigel","non-dropping-particle":"","parse-names":false,"suffix":""},{"dropping-particle":"","family":"Thom","given":"Jonathan","non-dropping-particle":"","parse-names":false,"suffix":""},{"dropping-particle":"","family":"Tiedemann","given":"Frank","non-dropping-particle":"","parse-names":false,"suffix":""},{"dropping-particle":"","family":"Tomassucci","given":"Michele","non-dropping-particle":"","parse-names":false,"suffix":""},{"dropping-particle":"","family":"Tuovinen","given":"Juha Pekka","non-dropping-particle":"","parse-names":false,"suffix":""},{"dropping-particle":"","family":"Urbanski","given":"Shawn","non-dropping-particle":"","parse-names":false,"suffix":""},{"dropping-particle":"","family":"Valentini","given":"Riccardo","non-dropping-particle":"","parse-names":false,"suffix":""},{"dropping-particle":"","family":"Molen","given":"Michiel","non-dropping-particle":"van der","parse-names":false,"suffix":""},{"dropping-particle":"","family":"Gorsel","given":"Eva","non-dropping-particle":"van","parse-names":false,"suffix":""},{"dropping-particle":"","family":"Huissteden","given":"Ko","non-dropping-particle":"van","parse-names":false,"suffix":""},{"dropping-particle":"","family":"Varlagin","given":"Andrej","non-dropping-particle":"","parse-names":false,"suffix":""},{"dropping-particle":"","family":"Verfaillie","given":"Joseph","non-dropping-particle":"","parse-names":false,"suffix":""},{"dropping-particle":"","family":"Vesala","given":"Timo","non-dropping-particle":"","parse-names":false,"suffix":""},{"dropping-particle":"","family":"Vincke","given":"Caroline","non-dropping-particle":"","parse-names":false,"suffix":""},{"dropping-particle":"","family":"Vitale","given":"Domenico","non-dropping-particle":"","parse-names":false,"suffix":""},{"dropping-particle":"","family":"Vygodskaya","given":"Natalia","non-dropping-particle":"","parse-names":false,"suffix":""},{"dropping-particle":"","family":"Walker","given":"Jeffrey P.","non-dropping-particle":"","parse-names":false,"suffix":""},{"dropping-particle":"","family":"Walter-Shea","given":"Elizabeth","non-dropping-particle":"","parse-names":false,"suffix":""},{"dropping-particle":"","family":"Wang","given":"Huimin","non-dropping-particle":"","parse-names":false,"suffix":""},{"dropping-particle":"","family":"Weber","given":"Robin","non-dropping-particle":"","parse-names":false,"suffix":""},{"dropping-particle":"","family":"Westermann","given":"Sebastian","non-dropping-particle":"","parse-names":false,"suffix":""},{"dropping-particle":"","family":"Wille","given":"Christian","non-dropping-particle":"","parse-names":false,"suffix":""},{"dropping-particle":"","family":"Wofsy","given":"Steven","non-dropping-particle":"","parse-names":false,"suffix":""},{"dropping-particle":"","family":"Wohlfahrt","given":"Georg","non-dropping-particle":"","parse-names":false,"suffix":""},{"dropping-particle":"","family":"Wolf","given":"Sebastian","non-dropping-particle":"","parse-names":false,"suffix":""},{"dropping-particle":"","family":"Woodgate","given":"William","non-dropping-particle":"","parse-names":false,"suffix":""},{"dropping-particle":"","family":"Li","given":"Yuelin","non-dropping-particle":"","parse-names":false,"suffix":""},{"dropping-particle":"","family":"Zampedri","given":"Roberto","non-dropping-particle":"","parse-names":false,"suffix":""},{"dropping-particle":"","family":"Zhang","given":"Junhui","non-dropping-particle":"","parse-names":false,"suffix":""},{"dropping-particle":"","family":"Zhou","given":"Guoyi","non-dropping-particle":"","parse-names":false,"suffix":""},{"dropping-particle":"","family":"Zona","given":"Donatella","non-dropping-particle":"","parse-names":false,"suffix":""},{"dropping-particle":"","family":"Agarwal","given":"Deb","non-dropping-particle":"","parse-names":false,"suffix":""},{"dropping-particle":"","family":"Biraud","given":"Sebastien","non-dropping-particle":"","parse-names":false,"suffix":""},{"dropping-particle":"","family":"Torn","given":"Margaret","non-dropping-particle":"","parse-names":false,"suffix":""},{"dropping-particle":"","family":"Papale","given":"Dario","non-dropping-particle":"","parse-names":false,"suffix":""}],"container-title":"Scientific data","id":"ITEM-1","issue":"1","issued":{"date-parts":[["2020"]]},"page":"225","title":"The FLUXNET2015 dataset and the ONEFlux processing pipeline for eddy covariance data","type":"article-journal","volume":"7"},"uris":["http://www.mendeley.com/documents/?uuid=3b9c2c9a-344c-4116-ab67-3b974087f211"]}],"mendeley":{"formattedCitation":"(Pastorello et al., 2020)","manualFormatting":"Pastorello et al. (2020)","plainTextFormattedCitation":"(Pastorello et al., 2020)","previouslyFormattedCitation":"(Pastorello et al., 2020)"},"properties":{"noteIndex":0},"schema":"https://github.com/citation-style-language/schema/raw/master/csl-citation.json"}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 xml:space="preserve">Pastorello et al. </w:t>
      </w:r>
      <w:r>
        <w:rPr>
          <w:rFonts w:ascii="Times New Roman" w:hAnsi="Times New Roman" w:cs="Times New Roman"/>
          <w:noProof/>
          <w:sz w:val="24"/>
          <w:szCs w:val="24"/>
        </w:rPr>
        <w:t>(</w:t>
      </w:r>
      <w:r w:rsidRPr="00045A1D">
        <w:rPr>
          <w:rFonts w:ascii="Times New Roman" w:hAnsi="Times New Roman" w:cs="Times New Roman"/>
          <w:noProof/>
          <w:sz w:val="24"/>
          <w:szCs w:val="24"/>
        </w:rPr>
        <w:t>2020)</w:t>
      </w:r>
      <w:r w:rsidRPr="004F3E51">
        <w:rPr>
          <w:rFonts w:ascii="Times New Roman" w:hAnsi="Times New Roman" w:cs="Times New Roman"/>
          <w:sz w:val="24"/>
          <w:szCs w:val="24"/>
        </w:rPr>
        <w:fldChar w:fldCharType="end"/>
      </w:r>
      <w:r>
        <w:rPr>
          <w:rFonts w:ascii="Times New Roman" w:hAnsi="Times New Roman" w:cs="Times New Roman"/>
          <w:sz w:val="24"/>
          <w:szCs w:val="24"/>
        </w:rPr>
        <w:t xml:space="preserve">. At each site, </w:t>
      </w:r>
      <w:r w:rsidRPr="004F3E51">
        <w:rPr>
          <w:rFonts w:ascii="Times New Roman" w:hAnsi="Times New Roman" w:cs="Times New Roman"/>
          <w:sz w:val="24"/>
          <w:szCs w:val="24"/>
        </w:rPr>
        <w:t>net ecosystem CO</w:t>
      </w:r>
      <w:r w:rsidRPr="004F3E51">
        <w:rPr>
          <w:rFonts w:ascii="Times New Roman" w:hAnsi="Times New Roman" w:cs="Times New Roman"/>
          <w:sz w:val="24"/>
          <w:szCs w:val="24"/>
          <w:vertAlign w:val="subscript"/>
        </w:rPr>
        <w:t>2</w:t>
      </w:r>
      <w:r w:rsidRPr="004F3E51">
        <w:rPr>
          <w:rFonts w:ascii="Times New Roman" w:hAnsi="Times New Roman" w:cs="Times New Roman"/>
          <w:sz w:val="24"/>
          <w:szCs w:val="24"/>
        </w:rPr>
        <w:t xml:space="preserve"> exchange (NEE) </w:t>
      </w:r>
      <w:r>
        <w:rPr>
          <w:rFonts w:ascii="Times New Roman" w:hAnsi="Times New Roman" w:cs="Times New Roman"/>
          <w:sz w:val="24"/>
          <w:szCs w:val="24"/>
        </w:rPr>
        <w:t xml:space="preserve">was filtered using </w:t>
      </w:r>
      <w:r w:rsidRPr="0001490F">
        <w:rPr>
          <w:rFonts w:ascii="Times New Roman" w:hAnsi="Times New Roman" w:cs="Times New Roman"/>
          <w:sz w:val="24"/>
          <w:szCs w:val="24"/>
        </w:rPr>
        <w:t>40</w:t>
      </w:r>
      <w:r>
        <w:rPr>
          <w:rFonts w:ascii="Times New Roman" w:hAnsi="Times New Roman" w:cs="Times New Roman"/>
          <w:sz w:val="24"/>
          <w:szCs w:val="24"/>
        </w:rPr>
        <w:t xml:space="preserve"> different friction velocity</w:t>
      </w:r>
      <w:r w:rsidRPr="0001490F">
        <w:rPr>
          <w:rFonts w:ascii="Times New Roman" w:hAnsi="Times New Roman" w:cs="Times New Roman"/>
          <w:sz w:val="24"/>
          <w:szCs w:val="24"/>
        </w:rPr>
        <w:t xml:space="preserve"> thresholds</w:t>
      </w:r>
      <w:r>
        <w:rPr>
          <w:rFonts w:ascii="Times New Roman" w:hAnsi="Times New Roman" w:cs="Times New Roman"/>
          <w:sz w:val="24"/>
          <w:szCs w:val="24"/>
        </w:rPr>
        <w:t xml:space="preserve"> and g</w:t>
      </w:r>
      <w:r w:rsidRPr="0001490F">
        <w:rPr>
          <w:rFonts w:ascii="Times New Roman" w:hAnsi="Times New Roman" w:cs="Times New Roman"/>
          <w:sz w:val="24"/>
          <w:szCs w:val="24"/>
        </w:rPr>
        <w:t>aps in the</w:t>
      </w:r>
      <w:r>
        <w:rPr>
          <w:rFonts w:ascii="Times New Roman" w:hAnsi="Times New Roman" w:cs="Times New Roman"/>
          <w:sz w:val="24"/>
          <w:szCs w:val="24"/>
        </w:rPr>
        <w:t xml:space="preserve"> half-hourly</w:t>
      </w:r>
      <w:r w:rsidRPr="0001490F">
        <w:rPr>
          <w:rFonts w:ascii="Times New Roman" w:hAnsi="Times New Roman" w:cs="Times New Roman"/>
          <w:sz w:val="24"/>
          <w:szCs w:val="24"/>
        </w:rPr>
        <w:t xml:space="preserve"> data were filled</w:t>
      </w:r>
      <w:r>
        <w:rPr>
          <w:rFonts w:ascii="Times New Roman" w:hAnsi="Times New Roman" w:cs="Times New Roman"/>
          <w:sz w:val="24"/>
          <w:szCs w:val="24"/>
        </w:rPr>
        <w:t xml:space="preserve">, resulting in </w:t>
      </w:r>
      <w:r w:rsidRPr="0001490F">
        <w:rPr>
          <w:rFonts w:ascii="Times New Roman" w:hAnsi="Times New Roman" w:cs="Times New Roman"/>
          <w:sz w:val="24"/>
          <w:szCs w:val="24"/>
        </w:rPr>
        <w:t xml:space="preserve">40 time-series of NEE. </w:t>
      </w:r>
      <w:r>
        <w:rPr>
          <w:rFonts w:ascii="Times New Roman" w:hAnsi="Times New Roman" w:cs="Times New Roman"/>
          <w:sz w:val="24"/>
          <w:szCs w:val="24"/>
        </w:rPr>
        <w:t>T</w:t>
      </w:r>
      <w:r w:rsidRPr="0001490F">
        <w:rPr>
          <w:rFonts w:ascii="Times New Roman" w:hAnsi="Times New Roman" w:cs="Times New Roman"/>
          <w:sz w:val="24"/>
          <w:szCs w:val="24"/>
        </w:rPr>
        <w:t xml:space="preserve">he most representative </w:t>
      </w:r>
      <w:r>
        <w:rPr>
          <w:rFonts w:ascii="Times New Roman" w:hAnsi="Times New Roman" w:cs="Times New Roman"/>
          <w:sz w:val="24"/>
          <w:szCs w:val="24"/>
        </w:rPr>
        <w:t>series</w:t>
      </w:r>
      <w:r w:rsidRPr="0001490F">
        <w:rPr>
          <w:rFonts w:ascii="Times New Roman" w:hAnsi="Times New Roman" w:cs="Times New Roman"/>
          <w:sz w:val="24"/>
          <w:szCs w:val="24"/>
        </w:rPr>
        <w:t xml:space="preserve"> w</w:t>
      </w:r>
      <w:r>
        <w:rPr>
          <w:rFonts w:ascii="Times New Roman" w:hAnsi="Times New Roman" w:cs="Times New Roman"/>
          <w:sz w:val="24"/>
          <w:szCs w:val="24"/>
        </w:rPr>
        <w:t xml:space="preserve">as </w:t>
      </w:r>
      <w:r w:rsidRPr="0001490F">
        <w:rPr>
          <w:rFonts w:ascii="Times New Roman" w:hAnsi="Times New Roman" w:cs="Times New Roman"/>
          <w:sz w:val="24"/>
          <w:szCs w:val="24"/>
        </w:rPr>
        <w:t>selected as the final NEE values</w:t>
      </w:r>
      <w:r w:rsidRPr="004F3E51">
        <w:rPr>
          <w:rFonts w:ascii="Times New Roman" w:hAnsi="Times New Roman" w:cs="Times New Roman"/>
          <w:sz w:val="24"/>
          <w:szCs w:val="24"/>
        </w:rPr>
        <w:t>.</w:t>
      </w:r>
      <w:r>
        <w:rPr>
          <w:rFonts w:ascii="Times New Roman" w:hAnsi="Times New Roman" w:cs="Times New Roman"/>
          <w:sz w:val="24"/>
          <w:szCs w:val="24"/>
        </w:rPr>
        <w:t xml:space="preserve"> GPP </w:t>
      </w:r>
      <w:r w:rsidRPr="004F3E51">
        <w:rPr>
          <w:rFonts w:ascii="Times New Roman" w:hAnsi="Times New Roman" w:cs="Times New Roman"/>
          <w:sz w:val="24"/>
          <w:szCs w:val="24"/>
        </w:rPr>
        <w:t xml:space="preserve">and ecosystem respiration (TER) </w:t>
      </w:r>
      <w:r>
        <w:rPr>
          <w:rFonts w:ascii="Times New Roman" w:hAnsi="Times New Roman" w:cs="Times New Roman"/>
          <w:sz w:val="24"/>
          <w:szCs w:val="24"/>
        </w:rPr>
        <w:t xml:space="preserve">were derived using daytime and nighttime partitioning methods. In this analysis, we used GPP estimates that were calculated using the </w:t>
      </w:r>
      <w:r w:rsidRPr="00090FDE">
        <w:rPr>
          <w:rFonts w:ascii="Times New Roman" w:hAnsi="Times New Roman" w:cs="Times New Roman"/>
          <w:sz w:val="24"/>
          <w:szCs w:val="24"/>
        </w:rPr>
        <w:t>temperature response function of nighttime NEE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10.1007/978-94-007-2351-1_9","author":[{"dropping-particle":"","family":"Reichstein","given":"M.","non-dropping-particle":"","parse-names":false,"suffix":""},{"dropping-particle":"","family":"Stoy","given":"P.C.","non-dropping-particle":"","parse-names":false,"suffix":""},{"dropping-particle":"","family":"Desai","given":"A.R.","non-dropping-particle":"","parse-names":false,"suffix":""},{"dropping-particle":"","family":"Lasslop","given":"G.","non-dropping-particle":"","parse-names":false,"suffix":""},{"dropping-particle":"","family":"Richardson","given":"A.D.","non-dropping-particle":"","parse-names":false,"suffix":""}],"container-title":"Eddy Covariance","editor":[{"dropping-particle":"","family":"Aubinet","given":"M.","non-dropping-particle":"","parse-names":false,"suffix":""},{"dropping-particle":"","family":"Vesala","given":"T.","non-dropping-particle":"","parse-names":false,"suffix":""},{"dropping-particle":"","family":"Papale","given":"D.","non-dropping-particle":"","parse-names":false,"suffix":""}],"id":"ITEM-1","issued":{"date-parts":[["2012"]]},"publisher":"Springer","publisher-place":"Dordrecht","title":"Partitioning of net fluxes","type":"chapter"},"uris":["http://www.mendeley.com/documents/?uuid=2a4b5298-f942-4616-a47d-5d53a57a2179"]}],"mendeley":{"formattedCitation":"(Reichstein, Stoy, Desai, Lasslop, &amp; Richardson, 2012)","plainTextFormattedCitation":"(Reichstein, Stoy, Desai, Lasslop, &amp; Richardson, 2012)"},"properties":{"noteIndex":0},"schema":"https://github.com/citation-style-language/schema/raw/master/csl-citation.json"}</w:instrText>
      </w:r>
      <w:r>
        <w:rPr>
          <w:rFonts w:ascii="Times New Roman" w:hAnsi="Times New Roman" w:cs="Times New Roman"/>
          <w:sz w:val="24"/>
          <w:szCs w:val="24"/>
        </w:rPr>
        <w:fldChar w:fldCharType="separate"/>
      </w:r>
      <w:r w:rsidRPr="00015C81">
        <w:rPr>
          <w:rFonts w:ascii="Times New Roman" w:hAnsi="Times New Roman" w:cs="Times New Roman"/>
          <w:noProof/>
          <w:sz w:val="24"/>
          <w:szCs w:val="24"/>
        </w:rPr>
        <w:t>(Reichstein, Stoy, Desai, Lasslop, &amp; Richardson, 2012)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F3E51">
        <w:rPr>
          <w:rFonts w:ascii="Times New Roman" w:hAnsi="Times New Roman" w:cs="Times New Roman"/>
          <w:sz w:val="24"/>
          <w:szCs w:val="24"/>
        </w:rPr>
        <w:t xml:space="preserve">The uncertainty of NEE was </w:t>
      </w:r>
      <w:r>
        <w:rPr>
          <w:rFonts w:ascii="Times New Roman" w:hAnsi="Times New Roman" w:cs="Times New Roman"/>
          <w:sz w:val="24"/>
          <w:szCs w:val="24"/>
        </w:rPr>
        <w:t>quantified</w:t>
      </w:r>
      <w:r w:rsidRPr="004F3E51">
        <w:rPr>
          <w:rFonts w:ascii="Times New Roman" w:hAnsi="Times New Roman" w:cs="Times New Roman"/>
          <w:sz w:val="24"/>
          <w:szCs w:val="24"/>
        </w:rPr>
        <w:t xml:space="preserve"> as the joint uncertainty</w:t>
      </w:r>
      <w:r>
        <w:rPr>
          <w:rFonts w:ascii="Times New Roman" w:hAnsi="Times New Roman" w:cs="Times New Roman"/>
          <w:sz w:val="24"/>
          <w:szCs w:val="24"/>
        </w:rPr>
        <w:t>,</w:t>
      </w:r>
      <w:r w:rsidRPr="004F3E51">
        <w:rPr>
          <w:rFonts w:ascii="Times New Roman" w:hAnsi="Times New Roman" w:cs="Times New Roman"/>
          <w:sz w:val="24"/>
          <w:szCs w:val="24"/>
        </w:rPr>
        <w:t xml:space="preserve"> which includes </w:t>
      </w:r>
      <w:r>
        <w:rPr>
          <w:rFonts w:ascii="Times New Roman" w:hAnsi="Times New Roman" w:cs="Times New Roman"/>
          <w:sz w:val="24"/>
          <w:szCs w:val="24"/>
        </w:rPr>
        <w:t xml:space="preserve">both </w:t>
      </w:r>
      <w:r w:rsidRPr="004F3E51">
        <w:rPr>
          <w:rFonts w:ascii="Times New Roman" w:hAnsi="Times New Roman" w:cs="Times New Roman"/>
          <w:sz w:val="24"/>
          <w:szCs w:val="24"/>
        </w:rPr>
        <w:t>random uncertainty</w:t>
      </w:r>
      <w:r>
        <w:rPr>
          <w:rFonts w:ascii="Times New Roman" w:hAnsi="Times New Roman" w:cs="Times New Roman"/>
          <w:sz w:val="24"/>
          <w:szCs w:val="24"/>
        </w:rPr>
        <w:t xml:space="preserve">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{"citationItems":[{"id":"ITEM-1","itemData":{"DOI":"10.1093/treephys/25.7.873","ISSN":"0829318X","PMID":"15870055","abstract":"Flux data are noisy, and this uncertainty is largely due to random measurement error. Knowledge of uncertainty is essential for the statistical evaluation of modeled and measured fluxes, for comparison of parameters derived by fitting models to measured fluxes and in formal data-assimilation efforts. We used the difference between simultaneous measurements from two towers located less than 1 km apart to quantify the distributional characteristics of the measurement error in fluxes of carbon dioxide (CO2) and sensible and latent heat (H and LE, respectively). Flux measurement error more closely follows a double exponential than a normal distribution. The CO2 flux uncertainty is negatively correlated with mean wind speed, whereas uncertainty in H and LE is positively correlated with net radiation flux. Measurements from a single tower made 24 h apart under similar environmental conditions can also be used to characterize flux uncertainty. Uncertainty calculated by this method is somewhat higher than that derived from the two-tower approach. We demonstrate the use of flux uncertainty in maximum likelihood parameter estimates for simple physiological models of daytime net carbon exchange. We show that inferred model parameters are highly correlated, and that hypothesis testing is therefore possible only when the joint distribution of the model parameters is taken into account. © 2005 Heron Publishing.","author":[{"dropping-particle":"","family":"Hollinger","given":"D. Y.","non-dropping-particle":"","parse-names":false,"suffix":""},{"dropping-particle":"","family":"Richardson","given":"A. D.","non-dropping-particle":"","parse-names":false,"suffix":""}],"container-title":"Tree Physiology","id":"ITEM-1","issue":"7","issued":{"date-parts":[["2005"]]},"page":"873-885","title":"Uncertainty in eddy covariance measurements and its application to physiological models","type":"article-journal","volume":"25"},"uris":["http://www.mendeley.com/documents/?uuid=2e28c355-5dda-49dd-ad0d-630ed6016439"]}],"mendeley":{"formattedCitation":"(Hollinger &amp; Richardson, 2005)","plainTextFormattedCitation":"(Hollinger &amp; Richardson, 2005)","previouslyFormattedCitation":"(Hollinger &amp; Richardson, 2005)"},"properties":{"noteIndex":0},"schema":"https://github.com/citation-style-language/schema/raw/master/csl-citation.json"}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(Hollinger &amp; Richardson, 2005)</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xml:space="preserve"> and the </w:t>
      </w:r>
      <w:r>
        <w:rPr>
          <w:rFonts w:ascii="Times New Roman" w:hAnsi="Times New Roman" w:cs="Times New Roman"/>
          <w:sz w:val="24"/>
          <w:szCs w:val="24"/>
        </w:rPr>
        <w:t xml:space="preserve">uncertainty associated with </w:t>
      </w:r>
      <w:r w:rsidRPr="004F3E51">
        <w:rPr>
          <w:rFonts w:ascii="Times New Roman" w:hAnsi="Times New Roman" w:cs="Times New Roman"/>
          <w:sz w:val="24"/>
          <w:szCs w:val="24"/>
        </w:rPr>
        <w:t>friction velocity threshold</w:t>
      </w:r>
      <w:r>
        <w:rPr>
          <w:rFonts w:ascii="Times New Roman" w:hAnsi="Times New Roman" w:cs="Times New Roman"/>
          <w:sz w:val="24"/>
          <w:szCs w:val="24"/>
        </w:rPr>
        <w:t>s</w:t>
      </w:r>
      <w:r w:rsidRPr="004F3E51">
        <w:rPr>
          <w:rFonts w:ascii="Times New Roman" w:hAnsi="Times New Roman" w:cs="Times New Roman"/>
          <w:sz w:val="24"/>
          <w:szCs w:val="24"/>
        </w:rPr>
        <w:t xml:space="preserve">. </w:t>
      </w:r>
      <w:r>
        <w:rPr>
          <w:rFonts w:ascii="Times New Roman" w:hAnsi="Times New Roman" w:cs="Times New Roman"/>
          <w:sz w:val="24"/>
          <w:szCs w:val="24"/>
        </w:rPr>
        <w:t>To calculate uncertainty in GPP and TER, o</w:t>
      </w:r>
      <w:r w:rsidRPr="004F3E51">
        <w:rPr>
          <w:rFonts w:ascii="Times New Roman" w:hAnsi="Times New Roman" w:cs="Times New Roman"/>
          <w:sz w:val="24"/>
          <w:szCs w:val="24"/>
        </w:rPr>
        <w:t xml:space="preserve">nly </w:t>
      </w:r>
      <w:r w:rsidRPr="007D74D0">
        <w:rPr>
          <w:rFonts w:ascii="Times New Roman" w:hAnsi="Times New Roman" w:cs="Times New Roman"/>
          <w:sz w:val="24"/>
          <w:szCs w:val="24"/>
        </w:rPr>
        <w:t>the uncertainty associated with friction velocity thresholds</w:t>
      </w:r>
      <w:r w:rsidRPr="004F3E51">
        <w:rPr>
          <w:rFonts w:ascii="Times New Roman" w:hAnsi="Times New Roman" w:cs="Times New Roman"/>
          <w:sz w:val="24"/>
          <w:szCs w:val="24"/>
        </w:rPr>
        <w:t xml:space="preserve"> was retained</w:t>
      </w:r>
      <w:r>
        <w:rPr>
          <w:rFonts w:ascii="Times New Roman" w:hAnsi="Times New Roman" w:cs="Times New Roman"/>
          <w:sz w:val="24"/>
          <w:szCs w:val="24"/>
        </w:rPr>
        <w:t xml:space="preserve">, </w:t>
      </w:r>
      <w:r w:rsidRPr="004F3E51">
        <w:rPr>
          <w:rFonts w:ascii="Times New Roman" w:hAnsi="Times New Roman" w:cs="Times New Roman"/>
          <w:sz w:val="24"/>
          <w:szCs w:val="24"/>
        </w:rPr>
        <w:t>using the 25</w:t>
      </w:r>
      <w:r w:rsidRPr="004F3E51">
        <w:rPr>
          <w:rFonts w:ascii="Times New Roman" w:hAnsi="Times New Roman" w:cs="Times New Roman"/>
          <w:sz w:val="24"/>
          <w:szCs w:val="24"/>
          <w:vertAlign w:val="superscript"/>
        </w:rPr>
        <w:t>th</w:t>
      </w:r>
      <w:r w:rsidRPr="004F3E51">
        <w:rPr>
          <w:rFonts w:ascii="Times New Roman" w:hAnsi="Times New Roman" w:cs="Times New Roman"/>
          <w:sz w:val="24"/>
          <w:szCs w:val="24"/>
        </w:rPr>
        <w:t xml:space="preserve"> and 75</w:t>
      </w:r>
      <w:r w:rsidRPr="004F3E51">
        <w:rPr>
          <w:rFonts w:ascii="Times New Roman" w:hAnsi="Times New Roman" w:cs="Times New Roman"/>
          <w:sz w:val="24"/>
          <w:szCs w:val="24"/>
          <w:vertAlign w:val="superscript"/>
        </w:rPr>
        <w:t>th</w:t>
      </w:r>
      <w:r w:rsidRPr="004F3E51">
        <w:rPr>
          <w:rFonts w:ascii="Times New Roman" w:hAnsi="Times New Roman" w:cs="Times New Roman"/>
          <w:sz w:val="24"/>
          <w:szCs w:val="24"/>
        </w:rPr>
        <w:t xml:space="preserve"> percentile values of the ensemble generated with 40 friction velocity</w:t>
      </w:r>
      <w:r>
        <w:rPr>
          <w:rFonts w:ascii="Times New Roman" w:hAnsi="Times New Roman" w:cs="Times New Roman"/>
          <w:sz w:val="24"/>
          <w:szCs w:val="24"/>
        </w:rPr>
        <w:t xml:space="preserve"> thresholds</w:t>
      </w:r>
      <w:r w:rsidRPr="004F3E51">
        <w:rPr>
          <w:rFonts w:ascii="Times New Roman" w:hAnsi="Times New Roman" w:cs="Times New Roman"/>
          <w:sz w:val="24"/>
          <w:szCs w:val="24"/>
        </w:rPr>
        <w:t xml:space="preserve">. The uncertainty was </w:t>
      </w:r>
      <w:r>
        <w:rPr>
          <w:rFonts w:ascii="Times New Roman" w:hAnsi="Times New Roman" w:cs="Times New Roman"/>
          <w:sz w:val="24"/>
          <w:szCs w:val="24"/>
        </w:rPr>
        <w:t>then</w:t>
      </w:r>
      <w:r w:rsidRPr="004F3E51">
        <w:rPr>
          <w:rFonts w:ascii="Times New Roman" w:hAnsi="Times New Roman" w:cs="Times New Roman"/>
          <w:sz w:val="24"/>
          <w:szCs w:val="24"/>
        </w:rPr>
        <w:t xml:space="preserve"> summed over the period considered.</w:t>
      </w:r>
    </w:p>
    <w:p w14:paraId="28635B45" w14:textId="77777777" w:rsidR="00103AF5" w:rsidRDefault="00103AF5" w:rsidP="00103AF5">
      <w:pPr>
        <w:snapToGri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this study, we</w:t>
      </w:r>
      <w:r w:rsidRPr="004F3E51">
        <w:rPr>
          <w:rFonts w:ascii="Times New Roman" w:hAnsi="Times New Roman" w:cs="Times New Roman"/>
          <w:sz w:val="24"/>
          <w:szCs w:val="24"/>
        </w:rPr>
        <w:t xml:space="preserve"> select</w:t>
      </w:r>
      <w:r>
        <w:rPr>
          <w:rFonts w:ascii="Times New Roman" w:hAnsi="Times New Roman" w:cs="Times New Roman"/>
          <w:sz w:val="24"/>
          <w:szCs w:val="24"/>
        </w:rPr>
        <w:t>ed</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the reference period from </w:t>
      </w:r>
      <w:r w:rsidRPr="004F3E51">
        <w:rPr>
          <w:rFonts w:ascii="Times New Roman" w:hAnsi="Times New Roman" w:cs="Times New Roman"/>
          <w:sz w:val="24"/>
          <w:szCs w:val="24"/>
        </w:rPr>
        <w:t xml:space="preserve">March to June of 2015-2019 </w:t>
      </w:r>
      <w:r>
        <w:rPr>
          <w:rFonts w:ascii="Times New Roman" w:hAnsi="Times New Roman" w:cs="Times New Roman"/>
          <w:sz w:val="24"/>
          <w:szCs w:val="24"/>
        </w:rPr>
        <w:t xml:space="preserve">for several reasons. Firstly, </w:t>
      </w:r>
      <w:r w:rsidRPr="004F3E51">
        <w:rPr>
          <w:rFonts w:ascii="Times New Roman" w:hAnsi="Times New Roman" w:cs="Times New Roman"/>
          <w:sz w:val="24"/>
          <w:szCs w:val="24"/>
        </w:rPr>
        <w:t xml:space="preserve">most sites have observational data since 2015, </w:t>
      </w:r>
      <w:r>
        <w:rPr>
          <w:rFonts w:ascii="Times New Roman" w:hAnsi="Times New Roman" w:cs="Times New Roman"/>
          <w:sz w:val="24"/>
          <w:szCs w:val="24"/>
        </w:rPr>
        <w:t xml:space="preserve">and this period is recent enough </w:t>
      </w:r>
      <w:r w:rsidRPr="004F3E51">
        <w:rPr>
          <w:rFonts w:ascii="Times New Roman" w:hAnsi="Times New Roman" w:cs="Times New Roman"/>
          <w:sz w:val="24"/>
          <w:szCs w:val="24"/>
        </w:rPr>
        <w:t>to be representative of conditions in 202</w:t>
      </w:r>
      <w:r>
        <w:rPr>
          <w:rFonts w:ascii="Times New Roman" w:hAnsi="Times New Roman" w:cs="Times New Roman"/>
          <w:sz w:val="24"/>
          <w:szCs w:val="24"/>
        </w:rPr>
        <w:t xml:space="preserve">0. Secondly, using a medium-term averaging period </w:t>
      </w:r>
      <w:r w:rsidRPr="004F3E51">
        <w:rPr>
          <w:rFonts w:ascii="Times New Roman" w:hAnsi="Times New Roman" w:cs="Times New Roman"/>
          <w:sz w:val="24"/>
          <w:szCs w:val="24"/>
        </w:rPr>
        <w:t xml:space="preserve">increases the likelihood of </w:t>
      </w:r>
      <w:r>
        <w:rPr>
          <w:rFonts w:ascii="Times New Roman" w:hAnsi="Times New Roman" w:cs="Times New Roman"/>
          <w:sz w:val="24"/>
          <w:szCs w:val="24"/>
        </w:rPr>
        <w:t xml:space="preserve">obtaining </w:t>
      </w:r>
      <w:r w:rsidRPr="004F3E51">
        <w:rPr>
          <w:rFonts w:ascii="Times New Roman" w:hAnsi="Times New Roman" w:cs="Times New Roman"/>
          <w:sz w:val="24"/>
          <w:szCs w:val="24"/>
        </w:rPr>
        <w:t>‘normal’ approximation</w:t>
      </w:r>
      <w:r>
        <w:rPr>
          <w:rFonts w:ascii="Times New Roman" w:hAnsi="Times New Roman" w:cs="Times New Roman"/>
          <w:sz w:val="24"/>
          <w:szCs w:val="24"/>
        </w:rPr>
        <w:t>, which can help</w:t>
      </w:r>
      <w:r w:rsidRPr="004F3E51">
        <w:rPr>
          <w:rFonts w:ascii="Times New Roman" w:hAnsi="Times New Roman" w:cs="Times New Roman"/>
          <w:sz w:val="24"/>
          <w:szCs w:val="24"/>
        </w:rPr>
        <w:t xml:space="preserve"> to even out short-term swings in a changing climate. The reference period is defined as the average across the years 2015-2019 or specific years for certain sites as listed in Table </w:t>
      </w:r>
      <w:r>
        <w:rPr>
          <w:rFonts w:ascii="Times New Roman" w:hAnsi="Times New Roman" w:cs="Times New Roman"/>
          <w:sz w:val="24"/>
          <w:szCs w:val="24"/>
        </w:rPr>
        <w:t>S</w:t>
      </w:r>
      <w:r w:rsidRPr="004F3E51">
        <w:rPr>
          <w:rFonts w:ascii="Times New Roman" w:hAnsi="Times New Roman" w:cs="Times New Roman"/>
          <w:sz w:val="24"/>
          <w:szCs w:val="24"/>
        </w:rPr>
        <w:t xml:space="preserve">1 and described </w:t>
      </w:r>
      <w:r>
        <w:rPr>
          <w:rFonts w:ascii="Times New Roman" w:hAnsi="Times New Roman" w:cs="Times New Roman"/>
          <w:sz w:val="24"/>
          <w:szCs w:val="24"/>
        </w:rPr>
        <w:t>below</w:t>
      </w:r>
      <w:r w:rsidRPr="004F3E51">
        <w:rPr>
          <w:rFonts w:ascii="Times New Roman" w:hAnsi="Times New Roman" w:cs="Times New Roman"/>
          <w:sz w:val="24"/>
          <w:szCs w:val="24"/>
        </w:rPr>
        <w:t>.</w:t>
      </w:r>
      <w:r>
        <w:rPr>
          <w:rFonts w:ascii="Times New Roman" w:hAnsi="Times New Roman" w:cs="Times New Roman"/>
          <w:sz w:val="24"/>
          <w:szCs w:val="24"/>
        </w:rPr>
        <w:t xml:space="preserve"> </w:t>
      </w:r>
    </w:p>
    <w:p w14:paraId="06B12516" w14:textId="77777777" w:rsidR="00103AF5" w:rsidRDefault="00103AF5" w:rsidP="00103AF5">
      <w:pPr>
        <w:snapToGrid w:val="0"/>
        <w:spacing w:after="0" w:line="480" w:lineRule="auto"/>
        <w:ind w:firstLine="720"/>
        <w:rPr>
          <w:rFonts w:ascii="Times New Roman" w:hAnsi="Times New Roman" w:cs="Times New Roman"/>
          <w:sz w:val="24"/>
          <w:szCs w:val="24"/>
        </w:rPr>
      </w:pPr>
      <w:r w:rsidRPr="004F3E51">
        <w:rPr>
          <w:rFonts w:ascii="Times New Roman" w:hAnsi="Times New Roman" w:cs="Times New Roman"/>
          <w:sz w:val="24"/>
          <w:szCs w:val="24"/>
        </w:rPr>
        <w:t xml:space="preserve">To </w:t>
      </w:r>
      <w:r>
        <w:rPr>
          <w:rFonts w:ascii="Times New Roman" w:hAnsi="Times New Roman" w:cs="Times New Roman"/>
          <w:sz w:val="24"/>
          <w:szCs w:val="24"/>
        </w:rPr>
        <w:t>ensure</w:t>
      </w:r>
      <w:r w:rsidRPr="004F3E51">
        <w:rPr>
          <w:rFonts w:ascii="Times New Roman" w:hAnsi="Times New Roman" w:cs="Times New Roman"/>
          <w:sz w:val="24"/>
          <w:szCs w:val="24"/>
        </w:rPr>
        <w:t xml:space="preserve"> high quality data for sound comparison and analysis, </w:t>
      </w:r>
      <w:r>
        <w:rPr>
          <w:rFonts w:ascii="Times New Roman" w:hAnsi="Times New Roman" w:cs="Times New Roman"/>
          <w:sz w:val="24"/>
          <w:szCs w:val="24"/>
        </w:rPr>
        <w:t xml:space="preserve">we further screened </w:t>
      </w:r>
      <w:r w:rsidRPr="004F3E51">
        <w:rPr>
          <w:rFonts w:ascii="Times New Roman" w:hAnsi="Times New Roman" w:cs="Times New Roman"/>
          <w:sz w:val="24"/>
          <w:szCs w:val="24"/>
        </w:rPr>
        <w:t xml:space="preserve">the four-month gap-filled NEE data of each year that were available between 2015 and 2020 </w:t>
      </w:r>
      <w:r w:rsidRPr="004F3E51">
        <w:rPr>
          <w:rFonts w:ascii="Times New Roman" w:hAnsi="Times New Roman" w:cs="Times New Roman"/>
          <w:sz w:val="24"/>
          <w:szCs w:val="24"/>
        </w:rPr>
        <w:lastRenderedPageBreak/>
        <w:t>based on quality flags of 0 to 3</w:t>
      </w:r>
      <w:r>
        <w:rPr>
          <w:rFonts w:ascii="Times New Roman" w:hAnsi="Times New Roman" w:cs="Times New Roman"/>
          <w:sz w:val="24"/>
          <w:szCs w:val="24"/>
        </w:rPr>
        <w:t xml:space="preserve">. </w:t>
      </w:r>
      <w:r w:rsidRPr="00C80033">
        <w:rPr>
          <w:rFonts w:ascii="Times New Roman" w:hAnsi="Times New Roman" w:cs="Times New Roman"/>
          <w:sz w:val="24"/>
          <w:szCs w:val="24"/>
        </w:rPr>
        <w:t>Quality flags of 0, 1, 2, and 3</w:t>
      </w:r>
      <w:r>
        <w:rPr>
          <w:rFonts w:ascii="Times New Roman" w:hAnsi="Times New Roman" w:cs="Times New Roman"/>
          <w:sz w:val="24"/>
          <w:szCs w:val="24"/>
        </w:rPr>
        <w:t xml:space="preserve"> </w:t>
      </w:r>
      <w:r w:rsidRPr="004F3E51">
        <w:rPr>
          <w:rFonts w:ascii="Times New Roman" w:hAnsi="Times New Roman" w:cs="Times New Roman"/>
          <w:sz w:val="24"/>
          <w:szCs w:val="24"/>
        </w:rPr>
        <w:t>indicat</w:t>
      </w:r>
      <w:r>
        <w:rPr>
          <w:rFonts w:ascii="Times New Roman" w:hAnsi="Times New Roman" w:cs="Times New Roman"/>
          <w:sz w:val="24"/>
          <w:szCs w:val="24"/>
        </w:rPr>
        <w:t>e</w:t>
      </w:r>
      <w:r w:rsidRPr="004F3E51">
        <w:rPr>
          <w:rFonts w:ascii="Times New Roman" w:hAnsi="Times New Roman" w:cs="Times New Roman"/>
          <w:sz w:val="24"/>
          <w:szCs w:val="24"/>
        </w:rPr>
        <w:t xml:space="preserve"> measured</w:t>
      </w:r>
      <w:r>
        <w:rPr>
          <w:rFonts w:ascii="Times New Roman" w:hAnsi="Times New Roman" w:cs="Times New Roman"/>
          <w:sz w:val="24"/>
          <w:szCs w:val="24"/>
        </w:rPr>
        <w:t xml:space="preserve"> fluxes</w:t>
      </w:r>
      <w:r w:rsidRPr="004F3E51">
        <w:rPr>
          <w:rFonts w:ascii="Times New Roman" w:hAnsi="Times New Roman" w:cs="Times New Roman"/>
          <w:sz w:val="24"/>
          <w:szCs w:val="24"/>
        </w:rPr>
        <w:t>,</w:t>
      </w:r>
      <w:r>
        <w:rPr>
          <w:rFonts w:ascii="Times New Roman" w:hAnsi="Times New Roman" w:cs="Times New Roman"/>
          <w:sz w:val="24"/>
          <w:szCs w:val="24"/>
        </w:rPr>
        <w:t xml:space="preserve"> </w:t>
      </w:r>
      <w:r w:rsidRPr="004F3E51">
        <w:rPr>
          <w:rFonts w:ascii="Times New Roman" w:hAnsi="Times New Roman" w:cs="Times New Roman"/>
          <w:sz w:val="24"/>
          <w:szCs w:val="24"/>
        </w:rPr>
        <w:t>good quality, medium quality and poor quality gap-filled NEE</w:t>
      </w:r>
      <w:r>
        <w:rPr>
          <w:rFonts w:ascii="Times New Roman" w:hAnsi="Times New Roman" w:cs="Times New Roman"/>
          <w:sz w:val="24"/>
          <w:szCs w:val="24"/>
        </w:rPr>
        <w:t xml:space="preserve">, respectively. Specifically, we only included the spring data in which </w:t>
      </w:r>
      <w:r w:rsidRPr="004F3E51">
        <w:rPr>
          <w:rFonts w:ascii="Times New Roman" w:hAnsi="Times New Roman" w:cs="Times New Roman"/>
          <w:sz w:val="24"/>
          <w:szCs w:val="24"/>
        </w:rPr>
        <w:t xml:space="preserve">at least 80% of the NEE data </w:t>
      </w:r>
      <w:r>
        <w:rPr>
          <w:rFonts w:ascii="Times New Roman" w:hAnsi="Times New Roman" w:cs="Times New Roman"/>
          <w:sz w:val="24"/>
          <w:szCs w:val="24"/>
        </w:rPr>
        <w:t xml:space="preserve">had </w:t>
      </w:r>
      <w:r w:rsidRPr="004F3E51">
        <w:rPr>
          <w:rFonts w:ascii="Times New Roman" w:hAnsi="Times New Roman" w:cs="Times New Roman"/>
          <w:sz w:val="24"/>
          <w:szCs w:val="24"/>
        </w:rPr>
        <w:t xml:space="preserve">quality flags of 0 to 2. </w:t>
      </w:r>
      <w:r>
        <w:rPr>
          <w:rFonts w:ascii="Times New Roman" w:hAnsi="Times New Roman" w:cs="Times New Roman"/>
          <w:sz w:val="24"/>
          <w:szCs w:val="24"/>
        </w:rPr>
        <w:t>This screening process resulted in</w:t>
      </w:r>
      <w:r w:rsidRPr="004F3E51">
        <w:rPr>
          <w:rFonts w:ascii="Times New Roman" w:hAnsi="Times New Roman" w:cs="Times New Roman"/>
          <w:sz w:val="24"/>
          <w:szCs w:val="24"/>
        </w:rPr>
        <w:t xml:space="preserve"> a total of 44 sites </w:t>
      </w:r>
      <w:r>
        <w:rPr>
          <w:rFonts w:ascii="Times New Roman" w:hAnsi="Times New Roman" w:cs="Times New Roman"/>
          <w:sz w:val="24"/>
          <w:szCs w:val="24"/>
        </w:rPr>
        <w:t xml:space="preserve">for </w:t>
      </w:r>
      <w:r w:rsidRPr="004F3E51">
        <w:rPr>
          <w:rFonts w:ascii="Times New Roman" w:hAnsi="Times New Roman" w:cs="Times New Roman"/>
          <w:sz w:val="24"/>
          <w:szCs w:val="24"/>
        </w:rPr>
        <w:t>this study</w:t>
      </w:r>
      <w:r>
        <w:rPr>
          <w:rFonts w:ascii="Times New Roman" w:hAnsi="Times New Roman" w:cs="Times New Roman"/>
          <w:sz w:val="24"/>
          <w:szCs w:val="24"/>
        </w:rPr>
        <w:t>,</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with </w:t>
      </w:r>
      <w:r w:rsidRPr="004F3E51">
        <w:rPr>
          <w:rFonts w:ascii="Times New Roman" w:hAnsi="Times New Roman" w:cs="Times New Roman"/>
          <w:sz w:val="24"/>
          <w:szCs w:val="24"/>
        </w:rPr>
        <w:t xml:space="preserve">31 sites </w:t>
      </w:r>
      <w:r>
        <w:rPr>
          <w:rFonts w:ascii="Times New Roman" w:hAnsi="Times New Roman" w:cs="Times New Roman"/>
          <w:sz w:val="24"/>
          <w:szCs w:val="24"/>
        </w:rPr>
        <w:t xml:space="preserve">providing data </w:t>
      </w:r>
      <w:r w:rsidRPr="004F3E51">
        <w:rPr>
          <w:rFonts w:ascii="Times New Roman" w:hAnsi="Times New Roman" w:cs="Times New Roman"/>
          <w:sz w:val="24"/>
          <w:szCs w:val="24"/>
        </w:rPr>
        <w:t>for the full study period of 2015-2020</w:t>
      </w:r>
      <w:r>
        <w:rPr>
          <w:rFonts w:ascii="Times New Roman" w:hAnsi="Times New Roman" w:cs="Times New Roman"/>
          <w:sz w:val="24"/>
          <w:szCs w:val="24"/>
        </w:rPr>
        <w:t xml:space="preserve"> (i.e. six years)</w:t>
      </w:r>
      <w:r w:rsidRPr="004F3E51">
        <w:rPr>
          <w:rFonts w:ascii="Times New Roman" w:hAnsi="Times New Roman" w:cs="Times New Roman"/>
          <w:sz w:val="24"/>
          <w:szCs w:val="24"/>
        </w:rPr>
        <w:t xml:space="preserve">, 10 sites </w:t>
      </w:r>
      <w:r>
        <w:rPr>
          <w:rFonts w:ascii="Times New Roman" w:hAnsi="Times New Roman" w:cs="Times New Roman"/>
          <w:sz w:val="24"/>
          <w:szCs w:val="24"/>
        </w:rPr>
        <w:t>providing</w:t>
      </w:r>
      <w:r w:rsidRPr="004F3E51">
        <w:rPr>
          <w:rFonts w:ascii="Times New Roman" w:hAnsi="Times New Roman" w:cs="Times New Roman"/>
          <w:sz w:val="24"/>
          <w:szCs w:val="24"/>
        </w:rPr>
        <w:t xml:space="preserve"> five-year</w:t>
      </w:r>
      <w:r>
        <w:rPr>
          <w:rFonts w:ascii="Times New Roman" w:hAnsi="Times New Roman" w:cs="Times New Roman"/>
          <w:sz w:val="24"/>
          <w:szCs w:val="24"/>
        </w:rPr>
        <w:t xml:space="preserve"> data</w:t>
      </w:r>
      <w:r w:rsidRPr="004F3E51">
        <w:rPr>
          <w:rFonts w:ascii="Times New Roman" w:hAnsi="Times New Roman" w:cs="Times New Roman"/>
          <w:sz w:val="24"/>
          <w:szCs w:val="24"/>
        </w:rPr>
        <w:t xml:space="preserve">, two sites </w:t>
      </w:r>
      <w:r>
        <w:rPr>
          <w:rFonts w:ascii="Times New Roman" w:hAnsi="Times New Roman" w:cs="Times New Roman"/>
          <w:sz w:val="24"/>
          <w:szCs w:val="24"/>
        </w:rPr>
        <w:t xml:space="preserve">providing </w:t>
      </w:r>
      <w:r w:rsidRPr="004F3E51">
        <w:rPr>
          <w:rFonts w:ascii="Times New Roman" w:hAnsi="Times New Roman" w:cs="Times New Roman"/>
          <w:sz w:val="24"/>
          <w:szCs w:val="24"/>
        </w:rPr>
        <w:t>four-year</w:t>
      </w:r>
      <w:r>
        <w:rPr>
          <w:rFonts w:ascii="Times New Roman" w:hAnsi="Times New Roman" w:cs="Times New Roman"/>
          <w:sz w:val="24"/>
          <w:szCs w:val="24"/>
        </w:rPr>
        <w:t xml:space="preserve"> data</w:t>
      </w:r>
      <w:r w:rsidRPr="004F3E51">
        <w:rPr>
          <w:rFonts w:ascii="Times New Roman" w:hAnsi="Times New Roman" w:cs="Times New Roman"/>
          <w:sz w:val="24"/>
          <w:szCs w:val="24"/>
        </w:rPr>
        <w:t xml:space="preserve">, and one site </w:t>
      </w:r>
      <w:r>
        <w:rPr>
          <w:rFonts w:ascii="Times New Roman" w:hAnsi="Times New Roman" w:cs="Times New Roman"/>
          <w:sz w:val="24"/>
          <w:szCs w:val="24"/>
        </w:rPr>
        <w:t xml:space="preserve">providing </w:t>
      </w:r>
      <w:r w:rsidRPr="004F3E51">
        <w:rPr>
          <w:rFonts w:ascii="Times New Roman" w:hAnsi="Times New Roman" w:cs="Times New Roman"/>
          <w:sz w:val="24"/>
          <w:szCs w:val="24"/>
        </w:rPr>
        <w:t xml:space="preserve">two-year </w:t>
      </w:r>
      <w:r>
        <w:rPr>
          <w:rFonts w:ascii="Times New Roman" w:hAnsi="Times New Roman" w:cs="Times New Roman"/>
          <w:sz w:val="24"/>
          <w:szCs w:val="24"/>
        </w:rPr>
        <w:t xml:space="preserve">data </w:t>
      </w:r>
      <w:r w:rsidRPr="004F3E51">
        <w:rPr>
          <w:rFonts w:ascii="Times New Roman" w:hAnsi="Times New Roman" w:cs="Times New Roman"/>
          <w:sz w:val="24"/>
          <w:szCs w:val="24"/>
        </w:rPr>
        <w:t xml:space="preserve">(Table </w:t>
      </w:r>
      <w:r>
        <w:rPr>
          <w:rFonts w:ascii="Times New Roman" w:hAnsi="Times New Roman" w:cs="Times New Roman"/>
          <w:sz w:val="24"/>
          <w:szCs w:val="24"/>
        </w:rPr>
        <w:t>S</w:t>
      </w:r>
      <w:r w:rsidRPr="004F3E51">
        <w:rPr>
          <w:rFonts w:ascii="Times New Roman" w:hAnsi="Times New Roman" w:cs="Times New Roman"/>
          <w:sz w:val="24"/>
          <w:szCs w:val="24"/>
        </w:rPr>
        <w:t>1).</w:t>
      </w:r>
    </w:p>
    <w:p w14:paraId="54E86740" w14:textId="77777777" w:rsidR="00103AF5" w:rsidRPr="00942504" w:rsidRDefault="00103AF5" w:rsidP="00103AF5">
      <w:pPr>
        <w:snapToGrid w:val="0"/>
        <w:spacing w:after="0" w:line="480" w:lineRule="auto"/>
        <w:rPr>
          <w:rFonts w:ascii="Times New Roman" w:hAnsi="Times New Roman" w:cs="Times New Roman"/>
          <w:sz w:val="24"/>
          <w:szCs w:val="24"/>
        </w:rPr>
      </w:pPr>
    </w:p>
    <w:p w14:paraId="72CDED2B" w14:textId="77777777" w:rsidR="00103AF5" w:rsidRPr="00A73014" w:rsidRDefault="00103AF5" w:rsidP="00103AF5">
      <w:pPr>
        <w:snapToGrid w:val="0"/>
        <w:spacing w:after="0" w:line="480" w:lineRule="auto"/>
        <w:rPr>
          <w:rFonts w:ascii="Times New Roman" w:hAnsi="Times New Roman" w:cs="Times New Roman"/>
          <w:b/>
          <w:sz w:val="24"/>
          <w:szCs w:val="24"/>
        </w:rPr>
      </w:pPr>
      <w:r w:rsidRPr="00A73014">
        <w:rPr>
          <w:rFonts w:ascii="Times New Roman" w:hAnsi="Times New Roman" w:cs="Times New Roman"/>
          <w:b/>
          <w:sz w:val="24"/>
          <w:szCs w:val="24"/>
        </w:rPr>
        <w:t>2.2 Air pollution datasets</w:t>
      </w:r>
    </w:p>
    <w:p w14:paraId="6110928A" w14:textId="77777777" w:rsidR="00103AF5" w:rsidRDefault="00103AF5" w:rsidP="00103AF5">
      <w:pPr>
        <w:snapToGrid w:val="0"/>
        <w:spacing w:after="0" w:line="480" w:lineRule="auto"/>
      </w:pPr>
      <w:r>
        <w:rPr>
          <w:rFonts w:ascii="Times New Roman" w:hAnsi="Times New Roman" w:cs="Times New Roman"/>
          <w:sz w:val="24"/>
          <w:szCs w:val="24"/>
        </w:rPr>
        <w:t>To determine ecosystem exposure to pollution, we used h</w:t>
      </w:r>
      <w:r w:rsidRPr="004F3E51">
        <w:rPr>
          <w:rFonts w:ascii="Times New Roman" w:hAnsi="Times New Roman" w:cs="Times New Roman"/>
          <w:sz w:val="24"/>
          <w:szCs w:val="24"/>
        </w:rPr>
        <w:t xml:space="preserve">ourly air pollutant concentration data </w:t>
      </w:r>
      <w:r>
        <w:rPr>
          <w:rFonts w:ascii="Times New Roman" w:hAnsi="Times New Roman" w:cs="Times New Roman"/>
          <w:sz w:val="24"/>
          <w:szCs w:val="24"/>
        </w:rPr>
        <w:t>simulated by</w:t>
      </w:r>
      <w:r w:rsidRPr="004F3E51">
        <w:rPr>
          <w:rFonts w:ascii="Times New Roman" w:hAnsi="Times New Roman" w:cs="Times New Roman"/>
          <w:sz w:val="24"/>
          <w:szCs w:val="24"/>
        </w:rPr>
        <w:t xml:space="preserve"> a </w:t>
      </w:r>
      <w:r>
        <w:rPr>
          <w:rFonts w:ascii="Times New Roman" w:hAnsi="Times New Roman" w:cs="Times New Roman"/>
          <w:sz w:val="24"/>
          <w:szCs w:val="24"/>
        </w:rPr>
        <w:t>regional</w:t>
      </w:r>
      <w:r w:rsidRPr="004F3E51">
        <w:rPr>
          <w:rFonts w:ascii="Times New Roman" w:hAnsi="Times New Roman" w:cs="Times New Roman"/>
          <w:sz w:val="24"/>
          <w:szCs w:val="24"/>
        </w:rPr>
        <w:t>-scale chemical transport model (LOTOS-EUROS)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{"citationItems":[{"id":"ITEM-1","itemData":{"author":[{"dropping-particle":"","family":"Manders-Groot","given":"A M M","non-dropping-particle":"","parse-names":false,"suffix":""},{"dropping-particle":"","family":"Segers","given":"A J","non-dropping-particle":"","parse-names":false,"suffix":""},{"dropping-particle":"","family":"Jonkers","given":"S","non-dropping-particle":"","parse-names":false,"suffix":""},{"dropping-particle":"","family":"Schaap","given":"M","non-dropping-particle":"","parse-names":false,"suffix":""},{"dropping-particle":"","family":"Timmermans","given":"R","non-dropping-particle":"","parse-names":false,"suffix":""},{"dropping-particle":"","family":"Hendriks","given":"C","non-dropping-particle":"","parse-names":false,"suffix":""},{"dropping-particle":"","family":"Sauter","given":"F","non-dropping-particle":"","parse-names":false,"suffix":""},{"dropping-particle":"","family":"Kruit","given":"R Wichink","non-dropping-particle":"","parse-names":false,"suffix":""},{"dropping-particle":"Van Der","family":"Swaluw","given":"E","non-dropping-particle":"","parse-names":false,"suffix":""},{"dropping-particle":"","family":"Eskes","given":"H","non-dropping-particle":"","parse-names":false,"suffix":""},{"dropping-particle":"","family":"Banzhaf","given":"S","non-dropping-particle":"","parse-names":false,"suffix":""}],"container-title":"TNO report 2016 R10898","id":"ITEM-1","issued":{"date-parts":[["2016"]]},"page":"77","title":"LOTOS-EUROS v2.0 Reference Guide","type":"article-journal"},"uris":["http://www.mendeley.com/documents/?uuid=bbb5a54e-af35-4e7a-83af-88e7bb048b81"]}],"mendeley":{"formattedCitation":"(Manders-Groot et al., 2016)","plainTextFormattedCitation":"(Manders-Groot et al., 2016)","previouslyFormattedCitation":"(Manders-Groot et al., 2016)"},"properties":{"noteIndex":0},"schema":"https://github.com/citation-style-language/schema/raw/master/csl-citation.json"}</w:instrText>
      </w:r>
      <w:r>
        <w:rPr>
          <w:rFonts w:ascii="Times New Roman" w:hAnsi="Times New Roman" w:cs="Times New Roman"/>
          <w:sz w:val="24"/>
          <w:szCs w:val="24"/>
        </w:rPr>
        <w:fldChar w:fldCharType="separate"/>
      </w:r>
      <w:r w:rsidRPr="00377982">
        <w:rPr>
          <w:rFonts w:ascii="Times New Roman" w:hAnsi="Times New Roman" w:cs="Times New Roman"/>
          <w:noProof/>
          <w:sz w:val="24"/>
          <w:szCs w:val="24"/>
        </w:rPr>
        <w:t>(Manders-Groot et al., 2016)</w:t>
      </w:r>
      <w:r>
        <w:rPr>
          <w:rFonts w:ascii="Times New Roman" w:hAnsi="Times New Roman" w:cs="Times New Roman"/>
          <w:sz w:val="24"/>
          <w:szCs w:val="24"/>
        </w:rPr>
        <w:fldChar w:fldCharType="end"/>
      </w:r>
      <w:r>
        <w:rPr>
          <w:rFonts w:ascii="Times New Roman" w:hAnsi="Times New Roman" w:cs="Times New Roman"/>
          <w:sz w:val="24"/>
          <w:szCs w:val="24"/>
        </w:rPr>
        <w:t>, which had</w:t>
      </w:r>
      <w:r w:rsidRPr="004F3E51">
        <w:rPr>
          <w:rFonts w:ascii="Times New Roman" w:hAnsi="Times New Roman" w:cs="Times New Roman"/>
          <w:sz w:val="24"/>
          <w:szCs w:val="24"/>
        </w:rPr>
        <w:t xml:space="preserve"> a spatial resolution of 0.1° × 0.1°. The</w:t>
      </w:r>
      <w:r>
        <w:rPr>
          <w:rFonts w:ascii="Times New Roman" w:hAnsi="Times New Roman" w:cs="Times New Roman"/>
          <w:sz w:val="24"/>
          <w:szCs w:val="24"/>
        </w:rPr>
        <w:t xml:space="preserve"> simulated</w:t>
      </w:r>
      <w:r w:rsidRPr="004F3E51">
        <w:rPr>
          <w:rFonts w:ascii="Times New Roman" w:hAnsi="Times New Roman" w:cs="Times New Roman"/>
          <w:sz w:val="24"/>
          <w:szCs w:val="24"/>
        </w:rPr>
        <w:t xml:space="preserve"> pollutants </w:t>
      </w:r>
      <w:r>
        <w:rPr>
          <w:rFonts w:ascii="Times New Roman" w:hAnsi="Times New Roman" w:cs="Times New Roman"/>
          <w:sz w:val="24"/>
          <w:szCs w:val="24"/>
        </w:rPr>
        <w:t xml:space="preserve">included </w:t>
      </w:r>
      <w:r w:rsidRPr="004F3E51">
        <w:rPr>
          <w:rFonts w:ascii="Times New Roman" w:hAnsi="Times New Roman" w:cs="Times New Roman"/>
          <w:sz w:val="24"/>
          <w:szCs w:val="24"/>
        </w:rPr>
        <w:t>gaseous species</w:t>
      </w:r>
      <w:r>
        <w:rPr>
          <w:rFonts w:ascii="Times New Roman" w:hAnsi="Times New Roman" w:cs="Times New Roman"/>
          <w:sz w:val="24"/>
          <w:szCs w:val="24"/>
        </w:rPr>
        <w:t xml:space="preserve"> such as</w:t>
      </w:r>
      <w:r w:rsidRPr="004F3E51">
        <w:rPr>
          <w:rFonts w:ascii="Times New Roman" w:hAnsi="Times New Roman" w:cs="Times New Roman"/>
          <w:sz w:val="24"/>
          <w:szCs w:val="24"/>
        </w:rPr>
        <w:t xml:space="preserve"> ozone (O</w:t>
      </w:r>
      <w:r w:rsidRPr="004F3E51">
        <w:rPr>
          <w:rFonts w:ascii="Times New Roman" w:hAnsi="Times New Roman" w:cs="Times New Roman"/>
          <w:sz w:val="24"/>
          <w:szCs w:val="24"/>
          <w:vertAlign w:val="subscript"/>
        </w:rPr>
        <w:t>3</w:t>
      </w:r>
      <w:r w:rsidRPr="004F3E51">
        <w:rPr>
          <w:rFonts w:ascii="Times New Roman" w:hAnsi="Times New Roman" w:cs="Times New Roman"/>
          <w:sz w:val="24"/>
          <w:szCs w:val="24"/>
        </w:rPr>
        <w:t>), nitrogen dioxide (NO</w:t>
      </w:r>
      <w:r w:rsidRPr="004F3E51">
        <w:rPr>
          <w:rFonts w:ascii="Times New Roman" w:hAnsi="Times New Roman" w:cs="Times New Roman"/>
          <w:sz w:val="24"/>
          <w:szCs w:val="24"/>
          <w:vertAlign w:val="subscript"/>
        </w:rPr>
        <w:t>2</w:t>
      </w:r>
      <w:r w:rsidRPr="004F3E51">
        <w:rPr>
          <w:rFonts w:ascii="Times New Roman" w:hAnsi="Times New Roman" w:cs="Times New Roman"/>
          <w:sz w:val="24"/>
          <w:szCs w:val="24"/>
        </w:rPr>
        <w:t>)</w:t>
      </w:r>
      <w:r>
        <w:rPr>
          <w:rFonts w:ascii="Times New Roman" w:hAnsi="Times New Roman" w:cs="Times New Roman"/>
          <w:sz w:val="24"/>
          <w:szCs w:val="24"/>
        </w:rPr>
        <w:t>,</w:t>
      </w:r>
      <w:r w:rsidRPr="004F3E51">
        <w:rPr>
          <w:rFonts w:ascii="Times New Roman" w:hAnsi="Times New Roman" w:cs="Times New Roman"/>
          <w:sz w:val="24"/>
          <w:szCs w:val="24"/>
        </w:rPr>
        <w:t xml:space="preserve"> nitric oxide (NO), ammonia (NH</w:t>
      </w:r>
      <w:r w:rsidRPr="004F3E51">
        <w:rPr>
          <w:rFonts w:ascii="Times New Roman" w:hAnsi="Times New Roman" w:cs="Times New Roman"/>
          <w:sz w:val="24"/>
          <w:szCs w:val="24"/>
          <w:vertAlign w:val="subscript"/>
        </w:rPr>
        <w:t>3</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4F3E51">
        <w:rPr>
          <w:rFonts w:ascii="Times New Roman" w:hAnsi="Times New Roman" w:cs="Times New Roman"/>
          <w:sz w:val="24"/>
          <w:szCs w:val="24"/>
        </w:rPr>
        <w:t>sulphur dioxide (SO</w:t>
      </w:r>
      <w:r w:rsidRPr="004F3E51">
        <w:rPr>
          <w:rFonts w:ascii="Times New Roman" w:hAnsi="Times New Roman" w:cs="Times New Roman"/>
          <w:sz w:val="24"/>
          <w:szCs w:val="24"/>
          <w:vertAlign w:val="subscript"/>
        </w:rPr>
        <w:t>2</w:t>
      </w:r>
      <w:r w:rsidRPr="004F3E51">
        <w:rPr>
          <w:rFonts w:ascii="Times New Roman" w:hAnsi="Times New Roman" w:cs="Times New Roman"/>
          <w:sz w:val="24"/>
          <w:szCs w:val="24"/>
        </w:rPr>
        <w:t>), a</w:t>
      </w:r>
      <w:r>
        <w:rPr>
          <w:rFonts w:ascii="Times New Roman" w:hAnsi="Times New Roman" w:cs="Times New Roman"/>
          <w:sz w:val="24"/>
          <w:szCs w:val="24"/>
        </w:rPr>
        <w:t xml:space="preserve">s well as </w:t>
      </w:r>
      <w:r w:rsidRPr="004F3E51">
        <w:rPr>
          <w:rFonts w:ascii="Times New Roman" w:hAnsi="Times New Roman" w:cs="Times New Roman"/>
          <w:sz w:val="24"/>
          <w:szCs w:val="24"/>
        </w:rPr>
        <w:t>particulate matter (PM)</w:t>
      </w:r>
      <w:r>
        <w:rPr>
          <w:rFonts w:ascii="Times New Roman" w:hAnsi="Times New Roman" w:cs="Times New Roman"/>
          <w:sz w:val="24"/>
          <w:szCs w:val="24"/>
        </w:rPr>
        <w:t xml:space="preserve">, which consisted of </w:t>
      </w:r>
      <w:r w:rsidRPr="004F3E51">
        <w:rPr>
          <w:rFonts w:ascii="Times New Roman" w:hAnsi="Times New Roman" w:cs="Times New Roman"/>
          <w:sz w:val="24"/>
          <w:szCs w:val="24"/>
        </w:rPr>
        <w:t>secondary inorganic aerosol</w:t>
      </w:r>
      <w:r>
        <w:rPr>
          <w:rFonts w:ascii="Times New Roman" w:hAnsi="Times New Roman" w:cs="Times New Roman"/>
          <w:sz w:val="24"/>
          <w:szCs w:val="24"/>
        </w:rPr>
        <w:t xml:space="preserve"> smaller</w:t>
      </w:r>
      <w:r w:rsidRPr="007B060C">
        <w:rPr>
          <w:rFonts w:ascii="Times New Roman" w:hAnsi="Times New Roman" w:cs="Times New Roman"/>
          <w:sz w:val="24"/>
          <w:szCs w:val="24"/>
        </w:rPr>
        <w:t xml:space="preserve"> than </w:t>
      </w:r>
      <w:r w:rsidRPr="004F3E51">
        <w:rPr>
          <w:rFonts w:ascii="Times New Roman" w:hAnsi="Times New Roman" w:cs="Times New Roman"/>
          <w:sz w:val="24"/>
          <w:szCs w:val="24"/>
        </w:rPr>
        <w:t>2.5 µm (SIA</w:t>
      </w:r>
      <w:r w:rsidRPr="004F3E51">
        <w:rPr>
          <w:rFonts w:ascii="Times New Roman" w:hAnsi="Times New Roman" w:cs="Times New Roman"/>
          <w:sz w:val="24"/>
          <w:szCs w:val="24"/>
          <w:vertAlign w:val="subscript"/>
        </w:rPr>
        <w:t>2.5</w:t>
      </w:r>
      <w:r w:rsidRPr="004F3E51">
        <w:rPr>
          <w:rFonts w:ascii="Times New Roman" w:hAnsi="Times New Roman" w:cs="Times New Roman"/>
          <w:sz w:val="24"/>
          <w:szCs w:val="24"/>
        </w:rPr>
        <w:t xml:space="preserve">), </w:t>
      </w:r>
      <w:r w:rsidRPr="007B060C">
        <w:rPr>
          <w:rFonts w:ascii="Times New Roman" w:hAnsi="Times New Roman" w:cs="Times New Roman"/>
          <w:sz w:val="24"/>
          <w:szCs w:val="24"/>
        </w:rPr>
        <w:t xml:space="preserve">particulate matter </w:t>
      </w:r>
      <w:r>
        <w:rPr>
          <w:rFonts w:ascii="Times New Roman" w:hAnsi="Times New Roman" w:cs="Times New Roman"/>
          <w:sz w:val="24"/>
          <w:szCs w:val="24"/>
        </w:rPr>
        <w:t>smaller</w:t>
      </w:r>
      <w:r w:rsidRPr="007B060C">
        <w:rPr>
          <w:rFonts w:ascii="Times New Roman" w:hAnsi="Times New Roman" w:cs="Times New Roman"/>
          <w:sz w:val="24"/>
          <w:szCs w:val="24"/>
        </w:rPr>
        <w:t xml:space="preserve"> than 10 μm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10</w:t>
      </w:r>
      <w:r w:rsidRPr="004F3E51">
        <w:rPr>
          <w:rFonts w:ascii="Times New Roman" w:hAnsi="Times New Roman" w:cs="Times New Roman"/>
          <w:sz w:val="24"/>
          <w:szCs w:val="24"/>
        </w:rPr>
        <w:t xml:space="preserve">) and </w:t>
      </w:r>
      <w:r w:rsidRPr="007B060C">
        <w:rPr>
          <w:rFonts w:ascii="Times New Roman" w:hAnsi="Times New Roman" w:cs="Times New Roman"/>
          <w:sz w:val="24"/>
          <w:szCs w:val="24"/>
        </w:rPr>
        <w:t xml:space="preserve">particulate matter </w:t>
      </w:r>
      <w:r>
        <w:rPr>
          <w:rFonts w:ascii="Times New Roman" w:hAnsi="Times New Roman" w:cs="Times New Roman"/>
          <w:sz w:val="24"/>
          <w:szCs w:val="24"/>
        </w:rPr>
        <w:t>smaller</w:t>
      </w:r>
      <w:r w:rsidRPr="007B060C">
        <w:rPr>
          <w:rFonts w:ascii="Times New Roman" w:hAnsi="Times New Roman" w:cs="Times New Roman"/>
          <w:sz w:val="24"/>
          <w:szCs w:val="24"/>
        </w:rPr>
        <w:t xml:space="preserve"> than </w:t>
      </w:r>
      <w:r w:rsidRPr="004F3E51">
        <w:rPr>
          <w:rFonts w:ascii="Times New Roman" w:hAnsi="Times New Roman" w:cs="Times New Roman"/>
          <w:sz w:val="24"/>
          <w:szCs w:val="24"/>
        </w:rPr>
        <w:t>2.5 µm (PM</w:t>
      </w:r>
      <w:r w:rsidRPr="004F3E51">
        <w:rPr>
          <w:rFonts w:ascii="Times New Roman" w:hAnsi="Times New Roman" w:cs="Times New Roman"/>
          <w:sz w:val="24"/>
          <w:szCs w:val="24"/>
          <w:vertAlign w:val="subscript"/>
        </w:rPr>
        <w:t>2.5</w:t>
      </w:r>
      <w:r w:rsidRPr="004F3E51">
        <w:rPr>
          <w:rFonts w:ascii="Times New Roman" w:hAnsi="Times New Roman" w:cs="Times New Roman"/>
          <w:sz w:val="24"/>
          <w:szCs w:val="24"/>
        </w:rPr>
        <w:t>). To quantify the relative change before and after lockdown, two calculations were performed</w:t>
      </w:r>
      <w:r>
        <w:rPr>
          <w:rFonts w:ascii="Times New Roman" w:hAnsi="Times New Roman" w:cs="Times New Roman"/>
          <w:sz w:val="24"/>
          <w:szCs w:val="24"/>
        </w:rPr>
        <w:t>:</w:t>
      </w:r>
      <w:r w:rsidRPr="004F3E51">
        <w:rPr>
          <w:rFonts w:ascii="Times New Roman" w:hAnsi="Times New Roman" w:cs="Times New Roman"/>
          <w:sz w:val="24"/>
          <w:szCs w:val="24"/>
        </w:rPr>
        <w:t xml:space="preserve"> one</w:t>
      </w:r>
      <w:r>
        <w:rPr>
          <w:rFonts w:ascii="Times New Roman" w:hAnsi="Times New Roman" w:cs="Times New Roman"/>
          <w:sz w:val="24"/>
          <w:szCs w:val="24"/>
        </w:rPr>
        <w:t xml:space="preserve"> </w:t>
      </w:r>
      <w:r w:rsidRPr="004F3E51">
        <w:rPr>
          <w:rFonts w:ascii="Times New Roman" w:hAnsi="Times New Roman" w:cs="Times New Roman"/>
          <w:sz w:val="24"/>
          <w:szCs w:val="24"/>
        </w:rPr>
        <w:t xml:space="preserve">with "business as usual" emissions, i.e. no COVID-19 </w:t>
      </w:r>
      <w:r>
        <w:rPr>
          <w:rFonts w:ascii="Times New Roman" w:hAnsi="Times New Roman" w:cs="Times New Roman"/>
          <w:sz w:val="24"/>
          <w:szCs w:val="24"/>
        </w:rPr>
        <w:t xml:space="preserve">reductions </w:t>
      </w:r>
      <w:r w:rsidRPr="004F3E51">
        <w:rPr>
          <w:rFonts w:ascii="Times New Roman" w:hAnsi="Times New Roman" w:cs="Times New Roman"/>
          <w:sz w:val="24"/>
          <w:szCs w:val="24"/>
        </w:rPr>
        <w:t xml:space="preserve">were considered, </w:t>
      </w:r>
      <w:r>
        <w:rPr>
          <w:rFonts w:ascii="Times New Roman" w:hAnsi="Times New Roman" w:cs="Times New Roman"/>
          <w:sz w:val="24"/>
          <w:szCs w:val="24"/>
        </w:rPr>
        <w:t xml:space="preserve">and another </w:t>
      </w:r>
      <w:r w:rsidRPr="004F3E51">
        <w:rPr>
          <w:rFonts w:ascii="Times New Roman" w:hAnsi="Times New Roman" w:cs="Times New Roman"/>
          <w:sz w:val="24"/>
          <w:szCs w:val="24"/>
        </w:rPr>
        <w:t xml:space="preserve">with COVID-19 modulated anthropogenic emissions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{"citationItems":[{"id":"ITEM-1","itemData":{"DOI":"10.5194/acp-21-773-2021","ISSN":"16807324","abstract":"We quantify the reductions in primary emissions due to the COVID-19 lockdowns in Europe. Our estimates are provided in the form of a dataset of reduction factors varying per country and day that will allow the modelling and identification of the associated impacts upon air quality. The country- and daily-resolved reduction factors are provided for each of the following source categories: energy industry (power plants), manufacturing industry, road traffic and aviation (landing and take-off cycle). We computed the reduction factors based on open-access and near-realtime measured activity data from a wide range of information sources. We also trained a machine learning model with meteorological data to derive weather-normalized electricity consumption reductions. The time period covered is from 21 February, when the first European localized lockdown was implemented in the region of Lombardy (Italy), until 26 April 2020. This period includes 5 weeks (23 March until 26 April) with the most severe and relatively unchanged restrictions upon mobility and socio-economic activities across Europe. The computed reduction factors were combined with the Copernicus Atmosphere Monitoring Service's European emission inventory using adjusted temporal emission profiles in order to derive time-resolved emission reductions per country and pollutant sector. During the most severe lockdown period, we estimate the average emission reductions to be -33 % for NOx, -8 % for non-methane volatile organic compounds (NMVOCs), -7 % for SOx and -7 % for PM2.5 at the EU-30 level (EU-28 plus Norway and Switzerland). For all pollutants more than 85 % of the total reduction is attributable to road transport, except SOx. The reductions reached -50 % (NOx), -14 % (NMVOCs), -12 % (SOx) and -15 % (PM2.5) in countries where the lockdown restrictions were more severe such as Italy, France or Spain. To show the potential for air quality modelling, we simulated and evaluated NO2 concentration decreases in rural and urban background regions across Europe (Italy, Spain, France, Germany, United-Kingdom and Sweden). We found the lockdown measures to be responsible for NO2 reductions of up to -58 % at urban background locations (Madrid, Spain) and -44 % at rural background areas (France), with an average contribution of the traffic sector to total reductions of 86 % and 93 %, respectively. A clear improvement of the modelled results was found when considering the emission reduction factors, especially…","author":[{"dropping-particle":"","family":"Guevara","given":"Marc","non-dropping-particle":"","parse-names":false,"suffix":""},{"dropping-particle":"","family":"Jorba","given":"Oriol","non-dropping-particle":"","parse-names":false,"suffix":""},{"dropping-particle":"","family":"Soret","given":"Albert","non-dropping-particle":"","parse-names":false,"suffix":""},{"dropping-particle":"","family":"Petetin","given":"Hervé","non-dropping-particle":"","parse-names":false,"suffix":""},{"dropping-particle":"","family":"Bowdalo","given":"Dene","non-dropping-particle":"","parse-names":false,"suffix":""},{"dropping-particle":"","family":"Serradell","given":"Kim","non-dropping-particle":"","parse-names":false,"suffix":""},{"dropping-particle":"","family":"Tena","given":"Carles","non-dropping-particle":"","parse-names":false,"suffix":""},{"dropping-particle":"","family":"Gon","given":"Hugo Denier","non-dropping-particle":"Van Der","parse-names":false,"suffix":""},{"dropping-particle":"","family":"Kuenen","given":"Jeroen","non-dropping-particle":"","parse-names":false,"suffix":""},{"dropping-particle":"","family":"Peuch","given":"Vincent Henri","non-dropping-particle":"","parse-names":false,"suffix":""},{"dropping-particle":"","family":"Pérez Garciá-Pando","given":"Carlos","non-dropping-particle":"","parse-names":false,"suffix":""}],"container-title":"Atmospheric Chemistry and Physics","id":"ITEM-1","issue":"2","issued":{"date-parts":[["2021"]]},"page":"773-797","title":"Time-resolved emission reductions for atmospheric chemistry modelling in Europe during the COVID-19 lockdowns","type":"article-journal","volume":"21"},"uris":["http://www.mendeley.com/documents/?uuid=cf3bdcf3-3a73-4fcb-a024-beb8681a7f9b"]}],"mendeley":{"formattedCitation":"(Guevara et al., 2021)","plainTextFormattedCitation":"(Guevara et al., 2021)","previouslyFormattedCitation":"(Guevara et al., 2021)"},"properties":{"noteIndex":0},"schema":"https://github.com/citation-style-language/schema/raw/master/csl-citation.json"}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(Guevara et al., 2021)</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xml:space="preserve">. </w:t>
      </w:r>
      <w:r>
        <w:rPr>
          <w:rFonts w:ascii="Times New Roman" w:hAnsi="Times New Roman" w:cs="Times New Roman"/>
          <w:sz w:val="24"/>
          <w:szCs w:val="24"/>
        </w:rPr>
        <w:t>F</w:t>
      </w:r>
      <w:r w:rsidRPr="004F3E51">
        <w:rPr>
          <w:rFonts w:ascii="Times New Roman" w:hAnsi="Times New Roman" w:cs="Times New Roman"/>
          <w:sz w:val="24"/>
          <w:szCs w:val="24"/>
        </w:rPr>
        <w:t xml:space="preserve">or </w:t>
      </w:r>
      <w:r>
        <w:rPr>
          <w:rFonts w:ascii="Times New Roman" w:hAnsi="Times New Roman" w:cs="Times New Roman"/>
          <w:sz w:val="24"/>
          <w:szCs w:val="24"/>
        </w:rPr>
        <w:t>short vegetation sites (</w:t>
      </w:r>
      <w:r w:rsidRPr="004F3E51">
        <w:rPr>
          <w:rFonts w:ascii="Times New Roman" w:hAnsi="Times New Roman" w:cs="Times New Roman"/>
          <w:sz w:val="24"/>
          <w:szCs w:val="24"/>
        </w:rPr>
        <w:t>CSH, GRA, OSH, SAV and WET</w:t>
      </w:r>
      <w:r>
        <w:rPr>
          <w:rFonts w:ascii="Times New Roman" w:hAnsi="Times New Roman" w:cs="Times New Roman"/>
          <w:sz w:val="24"/>
          <w:szCs w:val="24"/>
        </w:rPr>
        <w:t>), we used</w:t>
      </w:r>
      <w:r w:rsidRPr="004F3E51">
        <w:rPr>
          <w:rFonts w:ascii="Times New Roman" w:hAnsi="Times New Roman" w:cs="Times New Roman"/>
          <w:sz w:val="24"/>
          <w:szCs w:val="24"/>
        </w:rPr>
        <w:t xml:space="preserve"> ground level </w:t>
      </w:r>
      <w:r>
        <w:rPr>
          <w:rFonts w:ascii="Times New Roman" w:hAnsi="Times New Roman" w:cs="Times New Roman"/>
          <w:sz w:val="24"/>
          <w:szCs w:val="24"/>
        </w:rPr>
        <w:t xml:space="preserve">air pollutant </w:t>
      </w:r>
      <w:r w:rsidRPr="004F3E51">
        <w:rPr>
          <w:rFonts w:ascii="Times New Roman" w:hAnsi="Times New Roman" w:cs="Times New Roman"/>
          <w:sz w:val="24"/>
          <w:szCs w:val="24"/>
        </w:rPr>
        <w:t>concentrations (~2m above surface), while for</w:t>
      </w:r>
      <w:r>
        <w:rPr>
          <w:rFonts w:ascii="Times New Roman" w:hAnsi="Times New Roman" w:cs="Times New Roman"/>
          <w:sz w:val="24"/>
          <w:szCs w:val="24"/>
        </w:rPr>
        <w:t xml:space="preserve"> forests</w:t>
      </w:r>
      <w:r w:rsidRPr="004F3E51">
        <w:rPr>
          <w:rFonts w:ascii="Times New Roman" w:hAnsi="Times New Roman" w:cs="Times New Roman"/>
          <w:sz w:val="24"/>
          <w:szCs w:val="24"/>
        </w:rPr>
        <w:t xml:space="preserve"> </w:t>
      </w:r>
      <w:r>
        <w:rPr>
          <w:rFonts w:ascii="Times New Roman" w:hAnsi="Times New Roman" w:cs="Times New Roman"/>
          <w:sz w:val="24"/>
          <w:szCs w:val="24"/>
        </w:rPr>
        <w:t>(</w:t>
      </w:r>
      <w:r w:rsidRPr="004F3E51">
        <w:rPr>
          <w:rFonts w:ascii="Times New Roman" w:hAnsi="Times New Roman" w:cs="Times New Roman"/>
          <w:sz w:val="24"/>
          <w:szCs w:val="24"/>
        </w:rPr>
        <w:t>DBF, EBF, ENF, and MF</w:t>
      </w:r>
      <w:r>
        <w:rPr>
          <w:rFonts w:ascii="Times New Roman" w:hAnsi="Times New Roman" w:cs="Times New Roman"/>
          <w:sz w:val="24"/>
          <w:szCs w:val="24"/>
        </w:rPr>
        <w:t xml:space="preserve">), we used </w:t>
      </w:r>
      <w:r w:rsidRPr="004F3E51">
        <w:rPr>
          <w:rFonts w:ascii="Times New Roman" w:hAnsi="Times New Roman" w:cs="Times New Roman"/>
          <w:sz w:val="24"/>
          <w:szCs w:val="24"/>
        </w:rPr>
        <w:t xml:space="preserve">the concentration at 12.5 m. </w:t>
      </w:r>
      <w:r>
        <w:rPr>
          <w:rFonts w:ascii="Times New Roman" w:hAnsi="Times New Roman" w:cs="Times New Roman"/>
          <w:sz w:val="24"/>
          <w:szCs w:val="24"/>
        </w:rPr>
        <w:t>T</w:t>
      </w:r>
      <w:r w:rsidRPr="004F3E51">
        <w:rPr>
          <w:rFonts w:ascii="Times New Roman" w:hAnsi="Times New Roman" w:cs="Times New Roman"/>
          <w:sz w:val="24"/>
          <w:szCs w:val="24"/>
        </w:rPr>
        <w:t>o obtain half-hourly estimates from the series of hourly concentration</w:t>
      </w:r>
      <w:r>
        <w:rPr>
          <w:rFonts w:ascii="Times New Roman" w:hAnsi="Times New Roman" w:cs="Times New Roman"/>
          <w:sz w:val="24"/>
          <w:szCs w:val="24"/>
        </w:rPr>
        <w:t xml:space="preserve"> that were consistent with the</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data acquisition frequency for </w:t>
      </w:r>
      <w:r w:rsidRPr="004F3E51">
        <w:rPr>
          <w:rFonts w:ascii="Times New Roman" w:hAnsi="Times New Roman" w:cs="Times New Roman"/>
          <w:sz w:val="24"/>
          <w:szCs w:val="24"/>
        </w:rPr>
        <w:t xml:space="preserve">fluxes and meteorological data, </w:t>
      </w:r>
      <w:r>
        <w:rPr>
          <w:rFonts w:ascii="Times New Roman" w:hAnsi="Times New Roman" w:cs="Times New Roman"/>
          <w:sz w:val="24"/>
          <w:szCs w:val="24"/>
        </w:rPr>
        <w:t xml:space="preserve">we applied </w:t>
      </w:r>
      <w:r w:rsidRPr="004F3E51">
        <w:rPr>
          <w:rFonts w:ascii="Times New Roman" w:hAnsi="Times New Roman" w:cs="Times New Roman"/>
          <w:sz w:val="24"/>
          <w:szCs w:val="24"/>
        </w:rPr>
        <w:t xml:space="preserve">a linear interpolation procedure </w:t>
      </w:r>
      <w:r>
        <w:rPr>
          <w:rFonts w:ascii="Times New Roman" w:hAnsi="Times New Roman" w:cs="Times New Roman"/>
          <w:sz w:val="24"/>
          <w:szCs w:val="24"/>
        </w:rPr>
        <w:t>to the series of hourly concentration.</w:t>
      </w:r>
    </w:p>
    <w:p w14:paraId="53D2A527" w14:textId="77777777" w:rsidR="00103AF5" w:rsidRPr="004F3E51" w:rsidRDefault="00103AF5" w:rsidP="00103AF5">
      <w:pPr>
        <w:snapToGrid w:val="0"/>
        <w:spacing w:after="0" w:line="480" w:lineRule="auto"/>
        <w:rPr>
          <w:rFonts w:ascii="Times New Roman" w:hAnsi="Times New Roman" w:cs="Times New Roman"/>
          <w:sz w:val="24"/>
          <w:szCs w:val="24"/>
        </w:rPr>
      </w:pPr>
    </w:p>
    <w:p w14:paraId="5316AE05" w14:textId="77777777" w:rsidR="00103AF5" w:rsidRPr="004F3E51" w:rsidRDefault="00103AF5" w:rsidP="00103AF5">
      <w:pPr>
        <w:snapToGrid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Pr="004F3E51">
        <w:rPr>
          <w:rFonts w:ascii="Times New Roman" w:hAnsi="Times New Roman" w:cs="Times New Roman"/>
          <w:b/>
          <w:sz w:val="24"/>
          <w:szCs w:val="24"/>
        </w:rPr>
        <w:t>Diffuse</w:t>
      </w:r>
      <w:r>
        <w:rPr>
          <w:rFonts w:ascii="Times New Roman" w:hAnsi="Times New Roman" w:cs="Times New Roman"/>
          <w:b/>
          <w:sz w:val="24"/>
          <w:szCs w:val="24"/>
        </w:rPr>
        <w:t xml:space="preserve"> and total</w:t>
      </w:r>
      <w:r w:rsidRPr="004F3E51">
        <w:rPr>
          <w:rFonts w:ascii="Times New Roman" w:hAnsi="Times New Roman" w:cs="Times New Roman"/>
          <w:b/>
          <w:sz w:val="24"/>
          <w:szCs w:val="24"/>
        </w:rPr>
        <w:t xml:space="preserve"> radiation</w:t>
      </w:r>
    </w:p>
    <w:p w14:paraId="281EE264" w14:textId="77777777" w:rsidR="00103AF5" w:rsidRDefault="00103AF5" w:rsidP="00103AF5">
      <w:pPr>
        <w:snapToGrid w:val="0"/>
        <w:spacing w:after="0" w:line="480" w:lineRule="auto"/>
        <w:rPr>
          <w:rFonts w:ascii="Times New Roman" w:hAnsi="Times New Roman" w:cs="Times New Roman"/>
          <w:sz w:val="24"/>
          <w:szCs w:val="24"/>
        </w:rPr>
      </w:pPr>
      <w:r>
        <w:rPr>
          <w:rFonts w:ascii="Times New Roman" w:hAnsi="Times New Roman" w:cs="Times New Roman"/>
          <w:sz w:val="24"/>
          <w:szCs w:val="24"/>
        </w:rPr>
        <w:t>As not all the study sites were equipped with full radiation instruments, we obtained s</w:t>
      </w:r>
      <w:r w:rsidRPr="004F3E51">
        <w:rPr>
          <w:rFonts w:ascii="Times New Roman" w:hAnsi="Times New Roman" w:cs="Times New Roman"/>
          <w:sz w:val="24"/>
          <w:szCs w:val="24"/>
        </w:rPr>
        <w:t>olar</w:t>
      </w:r>
      <w:r>
        <w:rPr>
          <w:rFonts w:ascii="Times New Roman" w:hAnsi="Times New Roman" w:cs="Times New Roman"/>
          <w:sz w:val="24"/>
          <w:szCs w:val="24"/>
        </w:rPr>
        <w:t xml:space="preserve"> </w:t>
      </w:r>
      <w:r w:rsidRPr="004F3E51">
        <w:rPr>
          <w:rFonts w:ascii="Times New Roman" w:hAnsi="Times New Roman" w:cs="Times New Roman"/>
          <w:sz w:val="24"/>
          <w:szCs w:val="24"/>
        </w:rPr>
        <w:t>radiation components (global</w:t>
      </w:r>
      <w:r>
        <w:rPr>
          <w:rFonts w:ascii="Times New Roman" w:hAnsi="Times New Roman" w:cs="Times New Roman"/>
          <w:sz w:val="24"/>
          <w:szCs w:val="24"/>
        </w:rPr>
        <w:t xml:space="preserve"> SW</w:t>
      </w:r>
      <w:r w:rsidRPr="002B1F6A">
        <w:rPr>
          <w:rFonts w:ascii="Times New Roman" w:hAnsi="Times New Roman" w:cs="Times New Roman"/>
          <w:sz w:val="24"/>
          <w:szCs w:val="24"/>
          <w:vertAlign w:val="subscript"/>
        </w:rPr>
        <w:t>in</w:t>
      </w:r>
      <w:r w:rsidRPr="004F3E51">
        <w:rPr>
          <w:rFonts w:ascii="Times New Roman" w:hAnsi="Times New Roman" w:cs="Times New Roman"/>
          <w:sz w:val="24"/>
          <w:szCs w:val="24"/>
        </w:rPr>
        <w:t xml:space="preserve">, direct </w:t>
      </w:r>
      <w:r>
        <w:rPr>
          <w:rFonts w:ascii="Times New Roman" w:hAnsi="Times New Roman" w:cs="Times New Roman"/>
          <w:sz w:val="24"/>
          <w:szCs w:val="24"/>
        </w:rPr>
        <w:t>SW</w:t>
      </w:r>
      <w:r w:rsidRPr="002B1F6A">
        <w:rPr>
          <w:rFonts w:ascii="Times New Roman" w:hAnsi="Times New Roman" w:cs="Times New Roman"/>
          <w:sz w:val="24"/>
          <w:szCs w:val="24"/>
          <w:vertAlign w:val="subscript"/>
        </w:rPr>
        <w:t>dir</w:t>
      </w:r>
      <w:r>
        <w:rPr>
          <w:rFonts w:ascii="Times New Roman" w:hAnsi="Times New Roman" w:cs="Times New Roman"/>
          <w:sz w:val="24"/>
          <w:szCs w:val="24"/>
        </w:rPr>
        <w:t xml:space="preserve"> </w:t>
      </w:r>
      <w:r w:rsidRPr="004F3E51">
        <w:rPr>
          <w:rFonts w:ascii="Times New Roman" w:hAnsi="Times New Roman" w:cs="Times New Roman"/>
          <w:sz w:val="24"/>
          <w:szCs w:val="24"/>
        </w:rPr>
        <w:t>and diffuse</w:t>
      </w:r>
      <w:r>
        <w:rPr>
          <w:rFonts w:ascii="Times New Roman" w:hAnsi="Times New Roman" w:cs="Times New Roman"/>
          <w:sz w:val="24"/>
          <w:szCs w:val="24"/>
        </w:rPr>
        <w:t xml:space="preserve"> SW</w:t>
      </w:r>
      <w:r w:rsidRPr="002B1F6A">
        <w:rPr>
          <w:rFonts w:ascii="Times New Roman" w:hAnsi="Times New Roman" w:cs="Times New Roman"/>
          <w:sz w:val="24"/>
          <w:szCs w:val="24"/>
          <w:vertAlign w:val="subscript"/>
        </w:rPr>
        <w:t>dif</w:t>
      </w:r>
      <w:r w:rsidRPr="004F3E51">
        <w:rPr>
          <w:rFonts w:ascii="Times New Roman" w:hAnsi="Times New Roman" w:cs="Times New Roman"/>
          <w:sz w:val="24"/>
          <w:szCs w:val="24"/>
        </w:rPr>
        <w:t>) for all- and clear-sky conditions via the Copernicus Atmosphere Monitoring Service (CAMS) radiation service at 15-min intervals</w:t>
      </w:r>
      <w:r>
        <w:rPr>
          <w:rFonts w:ascii="Times New Roman" w:hAnsi="Times New Roman" w:cs="Times New Roman"/>
          <w:sz w:val="24"/>
          <w:szCs w:val="24"/>
        </w:rPr>
        <w:t xml:space="preserve">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{"citationItems":[{"id":"ITEM-1","itemData":{"DOI":"10.5194/amt-6-2403-2013","ISSN":"18678548","abstract":"A new fast clear-sky model called McClear was developed to estimate the downwelling shortwave direct and global irradiances received at ground level under clear skies. It is a fully physical model replacing empirical relations or simpler models used before. It exploits the recent results on aerosol properties, and total column content in water vapour and ozone produced by the MACC project (Monitoring Atmosphere Composition and Climate). It accurately reproduces the irradiance computed by the libRadtran reference radiative transfer model with a computational speed approximately 10&lt;sup&gt;5&lt;/sup&gt; times greater by adopting the abaci, or look-up table, approach combined with interpolation functions. It is therefore suited for geostationary satellite retrievals or numerical weather prediction schemes with many pixels or grid points, respectively. McClear irradiances were compared to 1 min measurements made in clear-sky conditions at several stations within the Baseline Surface Radiation Network in various climates. The bias for global irradiance comprises between-6 and 25Wm&lt;sup&gt;-2&lt;/sup&gt;. The RMSE ranges from 20Wm&lt;sup&gt;-2&lt;/sup&gt; (3% of the mean observed irradiance) to 36Wm&lt;sup&gt;-2&lt;/sup&gt; (5 %) and the correlation coefficient ranges between 0.95 and 0.99. The bias for the direct irradiance comprises between-48 and +33Wm&lt;sup&gt;-2&lt;/sup&gt;. The root mean square error (RMSE) ranges from 33Wm&lt;sup&gt;-2&lt;/sup&gt; (5 %) to 64Wm&lt;sup&gt;-2&lt;/sup&gt; (10 %). The correlation coefficient ranges between 0.84 and 0.98. This work demonstrates the quality of the McClear model combined with MACC products, and indirectly the quality of the aerosol properties modelled by the MACC reanalysis.","author":[{"dropping-particle":"","family":"Lefèvre","given":"M.","non-dropping-particle":"","parse-names":false,"suffix":""},{"dropping-particle":"","family":"Oumbe","given":"A.","non-dropping-particle":"","parse-names":false,"suffix":""},{"dropping-particle":"","family":"Blanc","given":"P.","non-dropping-particle":"","parse-names":false,"suffix":""},{"dropping-particle":"","family":"Espinar","given":"B.","non-dropping-particle":"","parse-names":false,"suffix":""},{"dropping-particle":"","family":"Gschwind","given":"B.","non-dropping-particle":"","parse-names":false,"suffix":""},{"dropping-particle":"","family":"Qu","given":"Z.","non-dropping-particle":"","parse-names":false,"suffix":""},{"dropping-particle":"","family":"Wald","given":"L.","non-dropping-particle":"","parse-names":false,"suffix":""},{"dropping-particle":"","family":"Schroedter-Homscheidt","given":"M.","non-dropping-particle":"","parse-names":false,"suffix":""},{"dropping-particle":"","family":"Hoyer-Klick","given":"C.","non-dropping-particle":"","parse-names":false,"suffix":""},{"dropping-particle":"","family":"Arola","given":"A.","non-dropping-particle":"","parse-names":false,"suffix":""},{"dropping-particle":"","family":"Benedetti","given":"A.","non-dropping-particle":"","parse-names":false,"suffix":""},{"dropping-particle":"","family":"Kaiser","given":"J. W.","non-dropping-particle":"","parse-names":false,"suffix":""},{"dropping-particle":"","family":"Morcrette","given":"J. J.","non-dropping-particle":"","parse-names":false,"suffix":""}],"container-title":"Atmospheric Measurement Techniques","id":"ITEM-1","issue":"9","issued":{"date-parts":[["2013"]]},"page":"2403-2418","title":"McClear: A new model estimating downwelling solar radiation at ground level in clear-sky conditions","type":"article-journal","volume":"6"},"uris":["http://www.mendeley.com/documents/?uuid=0c4a1813-0d15-4df3-b049-4edae12156e6"]},{"id":"ITEM-2","itemData":{"DOI":"10.1127/metz/2016/0781","ISSN":"16101227","abstract":"The new Heliosat-4 method estimates the downwelling shortwave irradiance received at ground level in all sky conditions. It provides the global irradiance and its direct and diffuse components on a horizontal plane and the direct irradiance for a plane normal to sun rays. It is a fully physical model using a fast, but still accurate approximation of radiative transfer modelling and is therefore well suited for geostationary satellite retrievals. It can also be used as a fast radiative transfer model in numerical weather prediction models. It is composed of two models based on abaci, also called look-up tables: the already-published McClear model calculating the irradiance under cloud-free conditions and the new McCloud model calculating the extinction of irradiance due to clouds. Both have been realized by using the libRadtran radiative transfer model. The main inputs to Heliosat-4 are aerosol properties, total column water vapour and ozone content as provided by the Copernicus Atmosphere Monitoring Service (CAMS) every 3 h. Cloud properties are derived from images of the Meteosat Second Generation (MSG) satellites in their 15 min temporal resolution using an adapted APOLLO (AVHRR Processing scheme Over cLouds, Land and Ocean) scheme. The 15 min means of irradiance estimated by Heliosat-4 are compared to corresponding measurements made at 13 stations within the Baseline Surface Radiation Network and being located in the field of view of MSG and in various climates. The bias for global irradiance is comprised between 2 and 32 W m-2. The root mean square error (RMSE) ranges between 74 and 94 W m-2. Relative RMSE values range between 15 % and 20 % of the mean observed irradiance for stations in desert and Mediterranean climates, and between 26 % and 43 % for rainy climates with mild winters. Correlation coefficients between 0.91 and 0.97 are found. The bias for the direct irradiance at normal incidence is comprised between-163 and +50 W m-2. The RMSE ranges from 160 W m-2 (29 % of the mean observed irradiance) to 288 W m-2 (63 %). The correlation coefficient ranges between 0.67 and 0.87.","author":[{"dropping-particle":"","family":"Qu","given":"Zhipeng","non-dropping-particle":"","parse-names":false,"suffix":""},{"dropping-particle":"","family":"Oumbe","given":"Armel","non-dropping-particle":"","parse-names":false,"suffix":""},{"dropping-particle":"","family":"Blanc","given":"Philippe","non-dropping-particle":"","parse-names":false,"suffix":""},{"dropping-particle":"","family":"Espinar","given":"Bella","non-dropping-particle":"","parse-names":false,"suffix":""},{"dropping-particle":"","family":"Gesell","given":"Gerhard","non-dropping-particle":"","parse-names":false,"suffix":""},{"dropping-particle":"","family":"Gschwind","given":"Benoit","non-dropping-particle":"","parse-names":false,"suffix":""},{"dropping-particle":"","family":"Klüser","given":"Lars","non-dropping-particle":"","parse-names":false,"suffix":""},{"dropping-particle":"","family":"Lefèvre","given":"Mireille","non-dropping-particle":"","parse-names":false,"suffix":""},{"dropping-particle":"","family":"Saboret","given":"Laurent","non-dropping-particle":"","parse-names":false,"suffix":""},{"dropping-particle":"","family":"Schroedter-Homscheidt","given":"Marion","non-dropping-particle":"","parse-names":false,"suffix":""},{"dropping-particle":"","family":"Wald","given":"Lucien","non-dropping-particle":"","parse-names":false,"suffix":""}],"container-title":"Meteorologische Zeitschrift","id":"ITEM-2","issue":"1","issued":{"date-parts":[["2017"]]},"page":"33-57","title":"Fast radiative transfer parameterisation for assessing the surface solar irradiance: The Heliosat-4 method","type":"article-journal","volume":"26"},"uris":["http://www.mendeley.com/documents/?uuid=8775880f-c110-4653-9ce5-e6b429c6a0fa"]},{"id":"ITEM-3","itemData":{"DOI":"10.1127/metz/2019/0946","ISSN":"16101227","abstract":"The fast McClear clear-sky model estimates the downwelling shortwave direct and diffuse irradiances received at ground level under cloud-free conditions. Several improvements are presented. They focus on the modeling of changes in irradiances with the solar zenithal angle and on a better exploitation of the aerosol properties offered by the Copernicus Atmosphere Monitoring Service (CAMS). Irradiances from this new version McClear-v3 were compared to 1 min measurements made in cloud-free conditions at 11 stations belonging to the Baseline Surface Radiation Network and being located in various climates. The correlation coefficient ranges between 0.982 and 0.999 for the global irradiance. The bias is positive (overestimation) and ranges between 1 W m−2 (0.1 % of the mean observed irradiance) and 20 W m−2 (3.2 %), with the exception of Barrow in Alaska (18 W m−2). The standard deviation ranges between 16 W m−2 (2.3 %) and 30 W m−2 (3.8 %). The correlation coefficient for the direct irradiance ranges between 0.902 and 0.995. As expected, since the direct in McClear does not comprise any circumsolar contribution, the bias is negative (underestimation) and ranges between 49 W m−2 (7.7 %) and 5 W m−2 (0.7 %), with two exceptions: Sede Boqer (79 W m−2) and Brasilia (13 W m−2). The standard deviation is comprised between 34 W m−2 (5.3 %) and 69 W m−2 (10.7 %). These results are similar to those obtained with McClear version 2. Compared to the latter, McClear-v3 removes several artifacts and its estimates are continuous in space and time.","author":[{"dropping-particle":"","family":"Gschwind","given":"Benoit","non-dropping-particle":"","parse-names":false,"suffix":""},{"dropping-particle":"","family":"Wald","given":"Lucien","non-dropping-particle":"","parse-names":false,"suffix":""},{"dropping-particle":"","family":"Blanc","given":"Philippe","non-dropping-particle":"","parse-names":false,"suffix":""},{"dropping-particle":"","family":"Lefèvre","given":"Mireille","non-dropping-particle":"","parse-names":false,"suffix":""},{"dropping-particle":"","family":"Schroedter-Homscheidt","given":"Marion","non-dropping-particle":"","parse-names":false,"suffix":""},{"dropping-particle":"","family":"Arola","given":"Antti","non-dropping-particle":"","parse-names":false,"suffix":""}],"container-title":"Meteorologische Zeitschrift","id":"ITEM-3","issue":"2","issued":{"date-parts":[["2019"]]},"page":"147-163","title":"Improving the McClear model estimating the downwelling solar radiation at ground level in cloud-free conditions - McClear-v3","type":"article-journal","volume":"28"},"uris":["http://www.mendeley.com/documents/?uuid=97258e2a-9a76-4a65-bf52-b90381807ab0"]}],"mendeley":{"formattedCitation":"(Gschwind et al., 2019; Lefèvre et al., 2013; Qu et al., 2017)","plainTextFormattedCitation":"(Gschwind et al., 2019; Lefèvre et al., 2013; Qu et al., 2017)","previouslyFormattedCitation":"(Gschwind et al., 2019; Lefèvre et al., 2013; Qu et al., 2017)"},"properties":{"noteIndex":0},"schema":"https://github.com/citation-style-language/schema/raw/master/csl-citation.json"}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(Gschwind et al., 2019; Lefèvre et al., 2013; Qu et al., 2017)</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xml:space="preserve"> for each site. The UTC</w:t>
      </w:r>
      <w:r>
        <w:rPr>
          <w:rFonts w:ascii="Times New Roman" w:hAnsi="Times New Roman" w:cs="Times New Roman"/>
          <w:sz w:val="24"/>
          <w:szCs w:val="24"/>
        </w:rPr>
        <w:t xml:space="preserve"> date and time were converted</w:t>
      </w:r>
      <w:r w:rsidRPr="004F3E51">
        <w:rPr>
          <w:rFonts w:ascii="Times New Roman" w:hAnsi="Times New Roman" w:cs="Times New Roman"/>
          <w:sz w:val="24"/>
          <w:szCs w:val="24"/>
        </w:rPr>
        <w:t xml:space="preserve"> to the local time, and </w:t>
      </w:r>
      <w:r>
        <w:rPr>
          <w:rFonts w:ascii="Times New Roman" w:hAnsi="Times New Roman" w:cs="Times New Roman"/>
          <w:sz w:val="24"/>
          <w:szCs w:val="24"/>
        </w:rPr>
        <w:t xml:space="preserve">we calculated </w:t>
      </w:r>
      <w:r w:rsidRPr="004F3E51">
        <w:rPr>
          <w:rFonts w:ascii="Times New Roman" w:hAnsi="Times New Roman" w:cs="Times New Roman"/>
          <w:sz w:val="24"/>
          <w:szCs w:val="24"/>
        </w:rPr>
        <w:t xml:space="preserve">half-hourly irradiance data </w:t>
      </w:r>
      <w:r>
        <w:rPr>
          <w:rFonts w:ascii="Times New Roman" w:hAnsi="Times New Roman" w:cs="Times New Roman"/>
          <w:sz w:val="24"/>
          <w:szCs w:val="24"/>
        </w:rPr>
        <w:t xml:space="preserve">by averaging </w:t>
      </w:r>
      <w:r w:rsidRPr="004F3E51">
        <w:rPr>
          <w:rFonts w:ascii="Times New Roman" w:hAnsi="Times New Roman" w:cs="Times New Roman"/>
          <w:sz w:val="24"/>
          <w:szCs w:val="24"/>
        </w:rPr>
        <w:t xml:space="preserve">the 15-min data. </w:t>
      </w:r>
      <w:r>
        <w:rPr>
          <w:rFonts w:ascii="Times New Roman" w:hAnsi="Times New Roman" w:cs="Times New Roman"/>
          <w:sz w:val="24"/>
          <w:szCs w:val="24"/>
        </w:rPr>
        <w:t>To estimate the proportion of diffuse radiation, we calculated the d</w:t>
      </w:r>
      <w:r w:rsidRPr="004F3E51">
        <w:rPr>
          <w:rFonts w:ascii="Times New Roman" w:hAnsi="Times New Roman" w:cs="Times New Roman"/>
          <w:sz w:val="24"/>
          <w:szCs w:val="24"/>
        </w:rPr>
        <w:t xml:space="preserve">iffuse radiation fraction (DF) as a ratio of diffuse to global irradiance on </w:t>
      </w:r>
      <w:r>
        <w:rPr>
          <w:rFonts w:ascii="Times New Roman" w:hAnsi="Times New Roman" w:cs="Times New Roman"/>
          <w:sz w:val="24"/>
          <w:szCs w:val="24"/>
        </w:rPr>
        <w:t xml:space="preserve">the </w:t>
      </w:r>
      <w:r w:rsidRPr="004F3E51">
        <w:rPr>
          <w:rFonts w:ascii="Times New Roman" w:hAnsi="Times New Roman" w:cs="Times New Roman"/>
          <w:sz w:val="24"/>
          <w:szCs w:val="24"/>
        </w:rPr>
        <w:t xml:space="preserve">horizontal plane at ground level. </w:t>
      </w:r>
    </w:p>
    <w:p w14:paraId="43DFD15F" w14:textId="77777777" w:rsidR="00103AF5" w:rsidRDefault="00103AF5" w:rsidP="00103AF5">
      <w:pPr>
        <w:snapToGrid w:val="0"/>
        <w:spacing w:after="0" w:line="480" w:lineRule="auto"/>
        <w:rPr>
          <w:rFonts w:ascii="Times New Roman" w:hAnsi="Times New Roman" w:cs="Times New Roman"/>
          <w:sz w:val="24"/>
          <w:szCs w:val="24"/>
        </w:rPr>
      </w:pPr>
    </w:p>
    <w:p w14:paraId="7C700871" w14:textId="77777777" w:rsidR="00103AF5" w:rsidRDefault="00103AF5" w:rsidP="00103AF5">
      <w:pPr>
        <w:pStyle w:val="ListParagraph"/>
        <w:numPr>
          <w:ilvl w:val="1"/>
          <w:numId w:val="5"/>
        </w:numPr>
        <w:snapToGrid w:val="0"/>
        <w:spacing w:after="0" w:line="480" w:lineRule="auto"/>
        <w:rPr>
          <w:rFonts w:ascii="Times New Roman" w:hAnsi="Times New Roman" w:cs="Times New Roman"/>
          <w:b/>
          <w:sz w:val="24"/>
          <w:szCs w:val="24"/>
        </w:rPr>
      </w:pPr>
      <w:r>
        <w:rPr>
          <w:rFonts w:ascii="Times New Roman" w:hAnsi="Times New Roman" w:cs="Times New Roman"/>
          <w:b/>
          <w:sz w:val="24"/>
          <w:szCs w:val="24"/>
        </w:rPr>
        <w:t>Quantification of a</w:t>
      </w:r>
      <w:r w:rsidRPr="00017254">
        <w:rPr>
          <w:rFonts w:ascii="Times New Roman" w:hAnsi="Times New Roman" w:cs="Times New Roman"/>
          <w:b/>
          <w:sz w:val="24"/>
          <w:szCs w:val="24"/>
        </w:rPr>
        <w:t>nomalies</w:t>
      </w:r>
    </w:p>
    <w:p w14:paraId="7100DC92" w14:textId="77777777" w:rsidR="00103AF5" w:rsidRPr="002C4DAA" w:rsidRDefault="00103AF5" w:rsidP="00103AF5">
      <w:pPr>
        <w:snapToGrid w:val="0"/>
        <w:spacing w:after="0" w:line="480" w:lineRule="auto"/>
        <w:rPr>
          <w:rFonts w:ascii="Times New Roman" w:hAnsi="Times New Roman" w:cs="Times New Roman"/>
          <w:bCs/>
          <w:sz w:val="24"/>
          <w:szCs w:val="24"/>
        </w:rPr>
      </w:pPr>
      <w:r w:rsidRPr="00CD5B1F">
        <w:rPr>
          <w:rFonts w:ascii="Times New Roman" w:hAnsi="Times New Roman" w:cs="Times New Roman"/>
          <w:bCs/>
          <w:sz w:val="24"/>
          <w:szCs w:val="24"/>
        </w:rPr>
        <w:t>We calculate</w:t>
      </w:r>
      <w:r>
        <w:rPr>
          <w:rFonts w:ascii="Times New Roman" w:hAnsi="Times New Roman" w:cs="Times New Roman"/>
          <w:bCs/>
          <w:sz w:val="24"/>
          <w:szCs w:val="24"/>
        </w:rPr>
        <w:t>d</w:t>
      </w:r>
      <w:r w:rsidRPr="00CD5B1F">
        <w:rPr>
          <w:rFonts w:ascii="Times New Roman" w:hAnsi="Times New Roman" w:cs="Times New Roman"/>
          <w:bCs/>
          <w:sz w:val="24"/>
          <w:szCs w:val="24"/>
        </w:rPr>
        <w:t xml:space="preserve"> the </w:t>
      </w:r>
      <w:r>
        <w:rPr>
          <w:rFonts w:ascii="Times New Roman" w:hAnsi="Times New Roman" w:cs="Times New Roman"/>
          <w:bCs/>
          <w:sz w:val="24"/>
          <w:szCs w:val="24"/>
        </w:rPr>
        <w:t xml:space="preserve">anomalies for </w:t>
      </w:r>
      <w:r w:rsidRPr="00CD5B1F">
        <w:rPr>
          <w:rFonts w:ascii="Times New Roman" w:hAnsi="Times New Roman" w:cs="Times New Roman"/>
          <w:bCs/>
          <w:sz w:val="24"/>
          <w:szCs w:val="24"/>
        </w:rPr>
        <w:t xml:space="preserve">spring (March-April-May-June) </w:t>
      </w:r>
      <w:r>
        <w:rPr>
          <w:rFonts w:ascii="Times New Roman" w:hAnsi="Times New Roman" w:cs="Times New Roman"/>
          <w:bCs/>
          <w:sz w:val="24"/>
          <w:szCs w:val="24"/>
        </w:rPr>
        <w:t xml:space="preserve">of </w:t>
      </w:r>
      <w:r w:rsidRPr="00CD5B1F">
        <w:rPr>
          <w:rFonts w:ascii="Times New Roman" w:hAnsi="Times New Roman" w:cs="Times New Roman"/>
          <w:bCs/>
          <w:sz w:val="24"/>
          <w:szCs w:val="24"/>
        </w:rPr>
        <w:t xml:space="preserve">2020 as </w:t>
      </w:r>
      <w:r>
        <w:rPr>
          <w:rFonts w:ascii="Times New Roman" w:hAnsi="Times New Roman" w:cs="Times New Roman"/>
          <w:bCs/>
          <w:sz w:val="24"/>
          <w:szCs w:val="24"/>
        </w:rPr>
        <w:t xml:space="preserve">the </w:t>
      </w:r>
      <w:r w:rsidRPr="00CD5B1F">
        <w:rPr>
          <w:rFonts w:ascii="Times New Roman" w:hAnsi="Times New Roman" w:cs="Times New Roman"/>
          <w:bCs/>
          <w:sz w:val="24"/>
          <w:szCs w:val="24"/>
        </w:rPr>
        <w:t xml:space="preserve">mean difference </w:t>
      </w:r>
      <w:r>
        <w:rPr>
          <w:rFonts w:ascii="Times New Roman" w:hAnsi="Times New Roman" w:cs="Times New Roman"/>
          <w:bCs/>
          <w:sz w:val="24"/>
          <w:szCs w:val="24"/>
        </w:rPr>
        <w:t xml:space="preserve">between the variables in 2020 </w:t>
      </w:r>
      <w:r w:rsidRPr="00017254">
        <w:rPr>
          <w:rFonts w:ascii="Times New Roman" w:hAnsi="Times New Roman" w:cs="Times New Roman"/>
          <w:sz w:val="24"/>
          <w:szCs w:val="24"/>
        </w:rPr>
        <w:t>(X</w:t>
      </w:r>
      <w:r w:rsidRPr="00017254">
        <w:rPr>
          <w:rFonts w:ascii="Times New Roman" w:hAnsi="Times New Roman" w:cs="Times New Roman"/>
          <w:sz w:val="24"/>
          <w:szCs w:val="24"/>
          <w:vertAlign w:val="subscript"/>
        </w:rPr>
        <w:t>2020</w:t>
      </w:r>
      <w:r>
        <w:rPr>
          <w:rFonts w:ascii="Times New Roman" w:hAnsi="Times New Roman" w:cs="Times New Roman"/>
          <w:sz w:val="24"/>
          <w:szCs w:val="24"/>
        </w:rPr>
        <w:t>, Y</w:t>
      </w:r>
      <w:r w:rsidRPr="00017254">
        <w:rPr>
          <w:rFonts w:ascii="Times New Roman" w:hAnsi="Times New Roman" w:cs="Times New Roman"/>
          <w:sz w:val="24"/>
          <w:szCs w:val="24"/>
          <w:vertAlign w:val="subscript"/>
        </w:rPr>
        <w:t>2020</w:t>
      </w:r>
      <w:r w:rsidRPr="00017254">
        <w:rPr>
          <w:rFonts w:ascii="Times New Roman" w:hAnsi="Times New Roman" w:cs="Times New Roman"/>
          <w:sz w:val="24"/>
          <w:szCs w:val="24"/>
        </w:rPr>
        <w:t xml:space="preserve">) </w:t>
      </w:r>
      <w:r>
        <w:rPr>
          <w:rFonts w:ascii="Times New Roman" w:hAnsi="Times New Roman" w:cs="Times New Roman"/>
          <w:bCs/>
          <w:sz w:val="24"/>
          <w:szCs w:val="24"/>
        </w:rPr>
        <w:t xml:space="preserve">and the reference period from 2015 to 2019 </w:t>
      </w:r>
      <w:r w:rsidRPr="00017254">
        <w:rPr>
          <w:rFonts w:ascii="Times New Roman" w:hAnsi="Times New Roman" w:cs="Times New Roman"/>
          <w:sz w:val="24"/>
          <w:szCs w:val="24"/>
        </w:rPr>
        <w:t>(X</w:t>
      </w:r>
      <w:r w:rsidRPr="00017254">
        <w:rPr>
          <w:rFonts w:ascii="Times New Roman" w:hAnsi="Times New Roman" w:cs="Times New Roman"/>
          <w:sz w:val="24"/>
          <w:szCs w:val="24"/>
          <w:vertAlign w:val="subscript"/>
        </w:rPr>
        <w:t>ref</w:t>
      </w:r>
      <w:r>
        <w:rPr>
          <w:rFonts w:ascii="Times New Roman" w:hAnsi="Times New Roman" w:cs="Times New Roman"/>
          <w:sz w:val="24"/>
          <w:szCs w:val="24"/>
        </w:rPr>
        <w:t>, Y</w:t>
      </w:r>
      <w:r w:rsidRPr="00017254">
        <w:rPr>
          <w:rFonts w:ascii="Times New Roman" w:hAnsi="Times New Roman" w:cs="Times New Roman"/>
          <w:sz w:val="24"/>
          <w:szCs w:val="24"/>
          <w:vertAlign w:val="subscript"/>
        </w:rPr>
        <w:t>ref</w:t>
      </w:r>
      <w:r w:rsidRPr="00017254">
        <w:rPr>
          <w:rFonts w:ascii="Times New Roman" w:hAnsi="Times New Roman" w:cs="Times New Roman"/>
          <w:sz w:val="24"/>
          <w:szCs w:val="24"/>
        </w:rPr>
        <w:t>)</w:t>
      </w:r>
      <w:r>
        <w:rPr>
          <w:rFonts w:ascii="Times New Roman" w:hAnsi="Times New Roman" w:cs="Times New Roman"/>
          <w:bCs/>
          <w:sz w:val="24"/>
          <w:szCs w:val="24"/>
        </w:rPr>
        <w:t xml:space="preserve">. The </w:t>
      </w:r>
      <w:r w:rsidRPr="00017254">
        <w:rPr>
          <w:rFonts w:ascii="Times New Roman" w:hAnsi="Times New Roman" w:cs="Times New Roman"/>
          <w:sz w:val="24"/>
          <w:szCs w:val="24"/>
        </w:rPr>
        <w:t>anomalies</w:t>
      </w:r>
      <w:r>
        <w:rPr>
          <w:rFonts w:ascii="Times New Roman" w:hAnsi="Times New Roman" w:cs="Times New Roman"/>
          <w:sz w:val="24"/>
          <w:szCs w:val="24"/>
        </w:rPr>
        <w:t xml:space="preserve"> were </w:t>
      </w:r>
      <w:r w:rsidRPr="00017254">
        <w:rPr>
          <w:rFonts w:ascii="Times New Roman" w:hAnsi="Times New Roman" w:cs="Times New Roman"/>
          <w:sz w:val="24"/>
          <w:szCs w:val="24"/>
        </w:rPr>
        <w:t xml:space="preserve">expressed as </w:t>
      </w:r>
      <w:r>
        <w:rPr>
          <w:rFonts w:ascii="Times New Roman" w:hAnsi="Times New Roman" w:cs="Times New Roman"/>
          <w:sz w:val="24"/>
          <w:szCs w:val="24"/>
        </w:rPr>
        <w:t xml:space="preserve">both </w:t>
      </w:r>
      <w:r w:rsidRPr="00017254">
        <w:rPr>
          <w:rFonts w:ascii="Times New Roman" w:hAnsi="Times New Roman" w:cs="Times New Roman"/>
          <w:sz w:val="24"/>
          <w:szCs w:val="24"/>
        </w:rPr>
        <w:t>absolute change and relative change</w:t>
      </w:r>
      <w:r>
        <w:rPr>
          <w:rFonts w:ascii="Times New Roman" w:hAnsi="Times New Roman" w:cs="Times New Roman"/>
          <w:sz w:val="24"/>
          <w:szCs w:val="24"/>
        </w:rPr>
        <w:t xml:space="preserve">, </w:t>
      </w:r>
      <w:r w:rsidRPr="00017254">
        <w:rPr>
          <w:rFonts w:ascii="Times New Roman" w:hAnsi="Times New Roman" w:cs="Times New Roman"/>
          <w:sz w:val="24"/>
          <w:szCs w:val="24"/>
        </w:rPr>
        <w:t xml:space="preserve">calculated as </w:t>
      </w:r>
      <w:r>
        <w:rPr>
          <w:rFonts w:ascii="Times New Roman" w:hAnsi="Times New Roman" w:cs="Times New Roman"/>
          <w:sz w:val="24"/>
          <w:szCs w:val="24"/>
        </w:rPr>
        <w:t>follows:</w:t>
      </w:r>
    </w:p>
    <w:p w14:paraId="491AC141" w14:textId="77777777" w:rsidR="00103AF5" w:rsidRPr="00155C73" w:rsidRDefault="00103AF5" w:rsidP="00103AF5">
      <w:pPr>
        <w:snapToGrid w:val="0"/>
        <w:spacing w:after="0" w:line="480" w:lineRule="auto"/>
        <w:rPr>
          <w:rFonts w:ascii="Times New Roman" w:hAnsi="Times New Roman" w:cs="Times New Roman"/>
          <w:sz w:val="24"/>
          <w:szCs w:val="24"/>
        </w:rPr>
      </w:pPr>
      <w:r w:rsidRPr="004F3E51">
        <w:rPr>
          <w:rFonts w:ascii="Times New Roman" w:hAnsi="Times New Roman" w:cs="Times New Roman"/>
          <w:sz w:val="24"/>
          <w:szCs w:val="24"/>
        </w:rPr>
        <w:t>ΔX = X</w:t>
      </w:r>
      <w:r w:rsidRPr="004F3E51">
        <w:rPr>
          <w:rFonts w:ascii="Times New Roman" w:hAnsi="Times New Roman" w:cs="Times New Roman"/>
          <w:sz w:val="24"/>
          <w:szCs w:val="24"/>
          <w:vertAlign w:val="subscript"/>
        </w:rPr>
        <w:t>2020</w:t>
      </w:r>
      <w:r w:rsidRPr="004F3E51">
        <w:rPr>
          <w:rFonts w:ascii="Times New Roman" w:hAnsi="Times New Roman" w:cs="Times New Roman"/>
          <w:sz w:val="24"/>
          <w:szCs w:val="24"/>
        </w:rPr>
        <w:t xml:space="preserve"> – X</w:t>
      </w:r>
      <w:r w:rsidRPr="004F3E51">
        <w:rPr>
          <w:rFonts w:ascii="Times New Roman" w:hAnsi="Times New Roman" w:cs="Times New Roman"/>
          <w:sz w:val="24"/>
          <w:szCs w:val="24"/>
          <w:vertAlign w:val="subscript"/>
        </w:rPr>
        <w:t>ref</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t xml:space="preserve">                     </w:t>
      </w:r>
      <w:r w:rsidRPr="00356E15">
        <w:rPr>
          <w:rFonts w:ascii="Times New Roman" w:hAnsi="Times New Roman" w:cs="Times New Roman"/>
          <w:sz w:val="24"/>
          <w:szCs w:val="24"/>
        </w:rPr>
        <w:t>(1)</w:t>
      </w:r>
    </w:p>
    <w:p w14:paraId="2274A9F7" w14:textId="77777777" w:rsidR="00103AF5" w:rsidRPr="004F3E51" w:rsidRDefault="00103AF5" w:rsidP="00103AF5">
      <w:pPr>
        <w:snapToGrid w:val="0"/>
        <w:spacing w:after="0" w:line="480" w:lineRule="auto"/>
        <w:rPr>
          <w:rFonts w:ascii="Times New Roman" w:hAnsi="Times New Roman" w:cs="Times New Roman"/>
          <w:sz w:val="24"/>
          <w:szCs w:val="24"/>
        </w:rPr>
      </w:pPr>
      <w:r w:rsidRPr="004F3E51">
        <w:rPr>
          <w:rFonts w:ascii="Times New Roman" w:hAnsi="Times New Roman" w:cs="Times New Roman"/>
          <w:sz w:val="24"/>
          <w:szCs w:val="24"/>
        </w:rPr>
        <w:t>and</w:t>
      </w:r>
    </w:p>
    <w:p w14:paraId="70A929EA" w14:textId="77777777" w:rsidR="00103AF5" w:rsidRDefault="00103AF5" w:rsidP="00103AF5">
      <w:pPr>
        <w:snapToGrid w:val="0"/>
        <w:spacing w:after="0" w:line="480" w:lineRule="auto"/>
        <w:rPr>
          <w:rFonts w:ascii="Times New Roman" w:hAnsi="Times New Roman" w:cs="Times New Roman"/>
          <w:sz w:val="24"/>
          <w:szCs w:val="24"/>
        </w:rPr>
      </w:pPr>
      <m:oMath>
        <m:r>
          <w:rPr>
            <w:rFonts w:ascii="Cambria Math" w:hAnsi="Cambria Math" w:cs="Times New Roman"/>
            <w:sz w:val="24"/>
            <w:szCs w:val="24"/>
          </w:rPr>
          <m:t>∆Y=</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2020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ref</m:t>
                </m:r>
              </m:sub>
            </m:sSub>
          </m:num>
          <m:den>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ref</m:t>
                </m:r>
              </m:sub>
            </m:sSub>
          </m:den>
        </m:f>
        <m:r>
          <w:rPr>
            <w:rFonts w:ascii="Cambria Math" w:hAnsi="Cambria Math" w:cs="Times New Roman"/>
            <w:sz w:val="24"/>
            <w:szCs w:val="24"/>
          </w:rPr>
          <m:t>×100%</m:t>
        </m:r>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vertAlign w:val="subscript"/>
        </w:rPr>
        <w:t xml:space="preserve">                     </w:t>
      </w:r>
      <w:r w:rsidRPr="00356E15">
        <w:rPr>
          <w:rFonts w:ascii="Times New Roman" w:hAnsi="Times New Roman" w:cs="Times New Roman"/>
          <w:sz w:val="24"/>
          <w:szCs w:val="24"/>
        </w:rPr>
        <w:t>(</w:t>
      </w:r>
      <w:r>
        <w:rPr>
          <w:rFonts w:ascii="Times New Roman" w:hAnsi="Times New Roman" w:cs="Times New Roman"/>
          <w:sz w:val="24"/>
          <w:szCs w:val="24"/>
        </w:rPr>
        <w:t>2</w:t>
      </w:r>
      <w:r w:rsidRPr="00356E15">
        <w:rPr>
          <w:rFonts w:ascii="Times New Roman" w:hAnsi="Times New Roman" w:cs="Times New Roman"/>
          <w:sz w:val="24"/>
          <w:szCs w:val="24"/>
        </w:rPr>
        <w:t>)</w:t>
      </w:r>
      <w:r>
        <w:rPr>
          <w:rFonts w:ascii="Times New Roman" w:hAnsi="Times New Roman" w:cs="Times New Roman"/>
          <w:sz w:val="24"/>
          <w:szCs w:val="24"/>
        </w:rPr>
        <w:t xml:space="preserve"> </w:t>
      </w:r>
      <w:r w:rsidRPr="004F3E51">
        <w:rPr>
          <w:rFonts w:ascii="Times New Roman" w:hAnsi="Times New Roman" w:cs="Times New Roman"/>
          <w:sz w:val="24"/>
          <w:szCs w:val="24"/>
        </w:rPr>
        <w:t>A positive anomaly indicates that X</w:t>
      </w:r>
      <w:r>
        <w:rPr>
          <w:rFonts w:ascii="Times New Roman" w:hAnsi="Times New Roman" w:cs="Times New Roman"/>
          <w:sz w:val="24"/>
          <w:szCs w:val="24"/>
        </w:rPr>
        <w:t xml:space="preserve"> and Y</w:t>
      </w:r>
      <w:r w:rsidRPr="004F3E51">
        <w:rPr>
          <w:rFonts w:ascii="Times New Roman" w:hAnsi="Times New Roman" w:cs="Times New Roman"/>
          <w:sz w:val="24"/>
          <w:szCs w:val="24"/>
        </w:rPr>
        <w:t xml:space="preserve"> during the 2020 spring was higher than during the reference period.</w:t>
      </w:r>
    </w:p>
    <w:p w14:paraId="24B9F743" w14:textId="77777777" w:rsidR="00103AF5" w:rsidRPr="004F3E51" w:rsidRDefault="00103AF5" w:rsidP="00103AF5">
      <w:pPr>
        <w:snapToGrid w:val="0"/>
        <w:spacing w:after="0" w:line="480" w:lineRule="auto"/>
        <w:rPr>
          <w:rFonts w:ascii="Times New Roman" w:hAnsi="Times New Roman" w:cs="Times New Roman"/>
          <w:sz w:val="24"/>
          <w:szCs w:val="24"/>
        </w:rPr>
      </w:pPr>
    </w:p>
    <w:p w14:paraId="0D4F858F" w14:textId="77777777" w:rsidR="00103AF5" w:rsidRPr="004F3E51" w:rsidRDefault="00103AF5" w:rsidP="00103AF5">
      <w:pPr>
        <w:snapToGri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2.5 </w:t>
      </w:r>
      <w:r w:rsidRPr="004F3E51">
        <w:rPr>
          <w:rFonts w:ascii="Times New Roman" w:hAnsi="Times New Roman" w:cs="Times New Roman"/>
          <w:b/>
          <w:sz w:val="24"/>
          <w:szCs w:val="24"/>
        </w:rPr>
        <w:t>Statistical analysis</w:t>
      </w:r>
    </w:p>
    <w:p w14:paraId="3EC3659D" w14:textId="77777777" w:rsidR="00103AF5" w:rsidRDefault="00103AF5" w:rsidP="00103AF5">
      <w:pPr>
        <w:snapToGrid w:val="0"/>
        <w:spacing w:after="0" w:line="480" w:lineRule="auto"/>
        <w:rPr>
          <w:rFonts w:ascii="Times New Roman" w:hAnsi="Times New Roman" w:cs="Times New Roman"/>
          <w:sz w:val="24"/>
          <w:szCs w:val="24"/>
        </w:rPr>
      </w:pPr>
      <w:r w:rsidRPr="004F3E51">
        <w:rPr>
          <w:rFonts w:ascii="Times New Roman" w:hAnsi="Times New Roman" w:cs="Times New Roman"/>
          <w:sz w:val="24"/>
          <w:szCs w:val="24"/>
        </w:rPr>
        <w:t xml:space="preserve">To </w:t>
      </w:r>
      <w:r>
        <w:rPr>
          <w:rFonts w:ascii="Times New Roman" w:hAnsi="Times New Roman" w:cs="Times New Roman"/>
          <w:sz w:val="24"/>
          <w:szCs w:val="24"/>
        </w:rPr>
        <w:t xml:space="preserve">assess the statistical significance of the differences between </w:t>
      </w:r>
      <w:r w:rsidRPr="004F3E51">
        <w:rPr>
          <w:rFonts w:ascii="Times New Roman" w:hAnsi="Times New Roman" w:cs="Times New Roman"/>
          <w:sz w:val="24"/>
          <w:szCs w:val="24"/>
        </w:rPr>
        <w:t xml:space="preserve">the </w:t>
      </w:r>
      <w:r>
        <w:rPr>
          <w:rFonts w:ascii="Times New Roman" w:hAnsi="Times New Roman" w:cs="Times New Roman"/>
          <w:sz w:val="24"/>
          <w:szCs w:val="24"/>
        </w:rPr>
        <w:t>reference</w:t>
      </w:r>
      <w:r w:rsidRPr="004F3E51">
        <w:rPr>
          <w:rFonts w:ascii="Times New Roman" w:hAnsi="Times New Roman" w:cs="Times New Roman"/>
          <w:sz w:val="24"/>
          <w:szCs w:val="24"/>
        </w:rPr>
        <w:t xml:space="preserve"> and </w:t>
      </w:r>
      <w:r>
        <w:rPr>
          <w:rFonts w:ascii="Times New Roman" w:hAnsi="Times New Roman" w:cs="Times New Roman"/>
          <w:sz w:val="24"/>
          <w:szCs w:val="24"/>
        </w:rPr>
        <w:t>the 2020 data</w:t>
      </w:r>
      <w:r w:rsidRPr="004F3E51">
        <w:rPr>
          <w:rFonts w:ascii="Times New Roman" w:hAnsi="Times New Roman" w:cs="Times New Roman"/>
          <w:sz w:val="24"/>
          <w:szCs w:val="24"/>
        </w:rPr>
        <w:t>, we use</w:t>
      </w:r>
      <w:r>
        <w:rPr>
          <w:rFonts w:ascii="Times New Roman" w:hAnsi="Times New Roman" w:cs="Times New Roman"/>
          <w:sz w:val="24"/>
          <w:szCs w:val="24"/>
        </w:rPr>
        <w:t>d</w:t>
      </w:r>
      <w:r w:rsidRPr="004F3E51">
        <w:rPr>
          <w:rFonts w:ascii="Times New Roman" w:hAnsi="Times New Roman" w:cs="Times New Roman"/>
          <w:sz w:val="24"/>
          <w:szCs w:val="24"/>
        </w:rPr>
        <w:t xml:space="preserve"> the Student's t-test to test the null hypothesis that the difference between the mean of </w:t>
      </w:r>
      <w:r>
        <w:rPr>
          <w:rFonts w:ascii="Times New Roman" w:hAnsi="Times New Roman" w:cs="Times New Roman"/>
          <w:sz w:val="24"/>
          <w:szCs w:val="24"/>
        </w:rPr>
        <w:t xml:space="preserve">2015-2019 and 2020 </w:t>
      </w:r>
      <w:r w:rsidRPr="004F3E51">
        <w:rPr>
          <w:rFonts w:ascii="Times New Roman" w:hAnsi="Times New Roman" w:cs="Times New Roman"/>
          <w:sz w:val="24"/>
          <w:szCs w:val="24"/>
        </w:rPr>
        <w:t xml:space="preserve">is zero at the 5% significance level. </w:t>
      </w:r>
    </w:p>
    <w:p w14:paraId="691E0762" w14:textId="77777777" w:rsidR="00103AF5" w:rsidRPr="004F3E51" w:rsidRDefault="00103AF5" w:rsidP="00103AF5">
      <w:pPr>
        <w:snapToGrid w:val="0"/>
        <w:spacing w:after="0" w:line="480" w:lineRule="auto"/>
        <w:rPr>
          <w:rFonts w:ascii="Times New Roman" w:hAnsi="Times New Roman" w:cs="Times New Roman"/>
          <w:sz w:val="24"/>
          <w:szCs w:val="24"/>
        </w:rPr>
      </w:pPr>
    </w:p>
    <w:p w14:paraId="400E2227" w14:textId="77777777" w:rsidR="00103AF5" w:rsidRPr="004F3E51" w:rsidRDefault="00103AF5" w:rsidP="00103AF5">
      <w:pPr>
        <w:snapToGrid w:val="0"/>
        <w:spacing w:after="0" w:line="480" w:lineRule="auto"/>
        <w:rPr>
          <w:rFonts w:ascii="Times New Roman" w:hAnsi="Times New Roman" w:cs="Times New Roman"/>
          <w:b/>
          <w:sz w:val="24"/>
          <w:szCs w:val="24"/>
        </w:rPr>
      </w:pPr>
      <w:r>
        <w:rPr>
          <w:rFonts w:ascii="Times New Roman" w:hAnsi="Times New Roman" w:cs="Times New Roman"/>
          <w:b/>
          <w:sz w:val="24"/>
          <w:szCs w:val="24"/>
        </w:rPr>
        <w:t>2.6 Instantaneous maximal rate of photosynthesis and canopy radiation-use efficiency</w:t>
      </w:r>
    </w:p>
    <w:p w14:paraId="79410D0E" w14:textId="77777777" w:rsidR="00103AF5" w:rsidRDefault="00103AF5" w:rsidP="00103AF5">
      <w:pPr>
        <w:snapToGrid w:val="0"/>
        <w:spacing w:after="0" w:line="480" w:lineRule="auto"/>
        <w:rPr>
          <w:rFonts w:ascii="Times New Roman" w:hAnsi="Times New Roman" w:cs="Times New Roman"/>
          <w:sz w:val="24"/>
          <w:szCs w:val="24"/>
        </w:rPr>
      </w:pPr>
      <w:r w:rsidRPr="004F3E51">
        <w:rPr>
          <w:rFonts w:ascii="Times New Roman" w:hAnsi="Times New Roman" w:cs="Times New Roman"/>
          <w:sz w:val="24"/>
          <w:szCs w:val="24"/>
        </w:rPr>
        <w:t xml:space="preserve">We </w:t>
      </w:r>
      <w:r>
        <w:rPr>
          <w:rFonts w:ascii="Times New Roman" w:hAnsi="Times New Roman" w:cs="Times New Roman"/>
          <w:sz w:val="24"/>
          <w:szCs w:val="24"/>
        </w:rPr>
        <w:t>estimated</w:t>
      </w:r>
      <w:r w:rsidRPr="004F3E51">
        <w:rPr>
          <w:rFonts w:ascii="Times New Roman" w:hAnsi="Times New Roman" w:cs="Times New Roman"/>
          <w:sz w:val="24"/>
          <w:szCs w:val="24"/>
        </w:rPr>
        <w:t xml:space="preserve"> the ecosystem light response parameter</w:t>
      </w:r>
      <w:r>
        <w:rPr>
          <w:rFonts w:ascii="Times New Roman" w:hAnsi="Times New Roman" w:cs="Times New Roman"/>
          <w:sz w:val="24"/>
          <w:szCs w:val="24"/>
        </w:rPr>
        <w:t xml:space="preserve"> (</w:t>
      </w:r>
      <w:r>
        <w:rPr>
          <w:rFonts w:ascii="Times New Roman" w:hAnsi="Times New Roman" w:cs="Times New Roman"/>
          <w:sz w:val="24"/>
          <w:szCs w:val="24"/>
        </w:rPr>
        <w:sym w:font="Symbol" w:char="F061"/>
      </w:r>
      <w:r>
        <w:rPr>
          <w:rFonts w:ascii="Times New Roman" w:hAnsi="Times New Roman" w:cs="Times New Roman"/>
          <w:sz w:val="24"/>
          <w:szCs w:val="24"/>
        </w:rPr>
        <w:t xml:space="preserve">, </w:t>
      </w:r>
      <w:r>
        <w:rPr>
          <w:rFonts w:ascii="Times New Roman" w:hAnsi="Times New Roman" w:cs="Times New Roman"/>
          <w:sz w:val="24"/>
          <w:szCs w:val="24"/>
        </w:rPr>
        <w:sym w:font="Symbol" w:char="F067"/>
      </w:r>
      <w:r>
        <w:rPr>
          <w:rFonts w:ascii="Times New Roman" w:hAnsi="Times New Roman" w:cs="Times New Roman"/>
          <w:sz w:val="24"/>
          <w:szCs w:val="24"/>
        </w:rPr>
        <w:t xml:space="preserve">, </w:t>
      </w:r>
      <w:r w:rsidRPr="002B1F6A">
        <w:rPr>
          <w:rFonts w:ascii="Times New Roman" w:hAnsi="Times New Roman" w:cs="Times New Roman"/>
          <w:i/>
          <w:iCs/>
          <w:sz w:val="24"/>
          <w:szCs w:val="24"/>
        </w:rPr>
        <w:t>P</w:t>
      </w:r>
      <w:r w:rsidRPr="002B1F6A">
        <w:rPr>
          <w:rFonts w:ascii="Times New Roman" w:hAnsi="Times New Roman" w:cs="Times New Roman"/>
          <w:i/>
          <w:iCs/>
          <w:sz w:val="24"/>
          <w:szCs w:val="24"/>
          <w:vertAlign w:val="subscript"/>
        </w:rPr>
        <w:t>max</w:t>
      </w:r>
      <w:r>
        <w:rPr>
          <w:rFonts w:ascii="Times New Roman" w:hAnsi="Times New Roman" w:cs="Times New Roman"/>
          <w:sz w:val="24"/>
          <w:szCs w:val="24"/>
        </w:rPr>
        <w:t xml:space="preserve">) by fitting the </w:t>
      </w:r>
      <w:r w:rsidRPr="004F3E51">
        <w:rPr>
          <w:rFonts w:ascii="Times New Roman" w:hAnsi="Times New Roman" w:cs="Times New Roman"/>
          <w:sz w:val="24"/>
          <w:szCs w:val="24"/>
        </w:rPr>
        <w:t>Michaelis-Menten rectangular hyperbola</w:t>
      </w:r>
      <w:r>
        <w:rPr>
          <w:rFonts w:ascii="Times New Roman" w:hAnsi="Times New Roman" w:cs="Times New Roman"/>
          <w:sz w:val="24"/>
          <w:szCs w:val="24"/>
        </w:rPr>
        <w:t xml:space="preserve"> function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{"citationItems":[{"id":"ITEM-1","itemData":{"DOI":"10.1016/S0168-1923(00)00225-2","ISSN":"01681923","abstract":"Heightened awareness of global change issues within both science and political communities has increased interest in using the global network of eddy covariance flux towers to more fully understand the impacts of natural and anthropogenic phenomena on the global carbon balance. Comparisons of net ecosystem exchange (FNEE) responses are being made among biome types, phenology patterns, and stress conditions. The comparisons are usually performed on annual sums of FNEE; however, the average data coverage during a year is only 65%. Therefore, robust and consistent gap filling methods are required. We review several methods of gap filling and apply them to data sets available from the EUROFLUX and AmeriFlux databases. The methods are based on mean diurnal variation (MDV), look-up tables (LookUp), and nonlinear regressions (Regr.), and the impact of different gap filling methods on the annual sum of FNEE is investigated. The difference between annual FNEE filled by MDV compared to FNEE filled by Regr. ranged from -45 to +200 g C m-2 per year (MDV-Regr.). Comparing LookUp and Regr. methods resulted in a difference (LookUp-Regr.) ranging from -30 to +150 g C m-2 per year. We also investigated the impact of replacing measurements at night, when turbulent mixing is insufficient. The nighttime correction for low friction velocities (u*) shifted annual FNEE on average by +77 g C m-2 per year, but in certain cases as much as + 185 g C m-2 per year. Our results emphasize the need to standardize gap filling-methods for improving the comparability of flux data products from regional and global flux networks. © 2001 Elsevier Science B.V.","author":[{"dropping-particle":"","family":"Falge","given":"Eva","non-dropping-particle":"","parse-names":false,"suffix":""},{"dropping-particle":"","family":"Baldocchi","given":"Dennis","non-dropping-particle":"","parse-names":false,"suffix":""},{"dropping-particle":"","family":"Olson","given":"Richard","non-dropping-particle":"","parse-names":false,"suffix":""},{"dropping-particle":"","family":"Anthoni","given":"Peter","non-dropping-particle":"","parse-names":false,"suffix":""},{"dropping-particle":"","family":"Aubinet","given":"Marc","non-dropping-particle":"","parse-names":false,"suffix":""},{"dropping-particle":"","family":"Bernhofer","given":"Christian","non-dropping-particle":"","parse-names":false,"suffix":""},{"dropping-particle":"","family":"Burba","given":"George","non-dropping-particle":"","parse-names":false,"suffix":""},{"dropping-particle":"","family":"Ceulemans","given":"Reinhart","non-dropping-particle":"","parse-names":false,"suffix":""},{"dropping-particle":"","family":"Clement","given":"Robert","non-dropping-particle":"","parse-names":false,"suffix":""},{"dropping-particle":"","family":"Dolman","given":"Han","non-dropping-particle":"","parse-names":false,"suffix":""},{"dropping-particle":"","family":"Granier","given":"André","non-dropping-particle":"","parse-names":false,"suffix":""},{"dropping-particle":"","family":"Gross","given":"Patrick","non-dropping-particle":"","parse-names":false,"suffix":""},{"dropping-particle":"","family":"Grünwald","given":"Thomas","non-dropping-particle":"","parse-names":false,"suffix":""},{"dropping-particle":"","family":"Hollinger","given":"David","non-dropping-particle":"","parse-names":false,"suffix":""},{"dropping-particle":"","family":"Jensen","given":"Niels Otto","non-dropping-particle":"","parse-names":false,"suffix":""},{"dropping-particle":"","family":"Katul","given":"Gabriel","non-dropping-particle":"","parse-names":false,"suffix":""},{"dropping-particle":"","family":"Keronen","given":"Petri","non-dropping-particle":"","parse-names":false,"suffix":""},{"dropping-particle":"","family":"Kowalski","given":"Andrew","non-dropping-particle":"","parse-names":false,"suffix":""},{"dropping-particle":"","family":"Lai","given":"Chun Ta","non-dropping-particle":"","parse-names":false,"suffix":""},{"dropping-particle":"","family":"Law","given":"Beverley E.","non-dropping-particle":"","parse-names":false,"suffix":""},{"dropping-particle":"","family":"Meyers","given":"Tilden","non-dropping-particle":"","parse-names":false,"suffix":""},{"dropping-particle":"","family":"Moncrieff","given":"John","non-dropping-particle":"","parse-names":false,"suffix":""},{"dropping-particle":"","family":"Moors","given":"Eddy","non-dropping-particle":"","parse-names":false,"suffix":""},{"dropping-particle":"","family":"Munger","given":"J. William","non-dropping-particle":"","parse-names":false,"suffix":""},{"dropping-particle":"","family":"Pilegaard","given":"Kim","non-dropping-particle":"","parse-names":false,"suffix":""},{"dropping-particle":"","family":"Rannik","given":"Üllar","non-dropping-particle":"","parse-names":false,"suffix":""},{"dropping-particle":"","family":"Rebmann","given":"Corinna","non-dropping-particle":"","parse-names":false,"suffix":""},{"dropping-particle":"","family":"Suyker","given":"Andrew","non-dropping-particle":"","parse-names":false,"suffix":""},{"dropping-particle":"","family":"Tenhunen","given":"John","non-dropping-particle":"","parse-names":false,"suffix":""},{"dropping-particle":"","family":"Tu","given":"Kevin","non-dropping-particle":"","parse-names":false,"suffix":""},{"dropping-particle":"","family":"Verma","given":"Shashi","non-dropping-particle":"","parse-names":false,"suffix":""},{"dropping-particle":"","family":"Vesala","given":"Timo","non-dropping-particle":"","parse-names":false,"suffix":""},{"dropping-particle":"","family":"Wilson","given":"Kell","non-dropping-particle":"","parse-names":false,"suffix":""},{"dropping-particle":"","family":"Wofsy","given":"Steve","non-dropping-particle":"","parse-names":false,"suffix":""}],"container-title":"Agricultural and Forest Meteorology","id":"ITEM-1","issue":"1","issued":{"date-parts":[["2001"]]},"page":"43-69","title":"Gap filling strategies for defensible annual sums of net ecosystem exchange","type":"article-journal","volume":"107"},"uris":["http://www.mendeley.com/documents/?uuid=547da7c4-4778-4e05-845f-982e8fceba2a"]},{"id":"ITEM-2","itemData":{"DOI":"10.1111/j.1365-2486.2009.02041.x","ISSN":"13541013","abstract":"The measured net ecosystem exchange (NEE) of CO2 between the ecosystem and the atmosphere reflects the balance between gross CO2 assimilation [gross primary production (GPP)] and ecosystem respiration (Reco). For understanding the mechanistic responses of ecosystem processes to environmental change it is important to separate these two flux components. Two approaches are conventionally used: (1) respiration measurements made at night are extrapolated to the daytime or (2) light-response curves are fit to daytime NEE measurements and respiration is estimated from the intercept of the ordinate, which avoids the use of potentially problematic nighttime data. We demonstrate that this approach is subject to biases if the effect of vapor pressure deficit (VPD) modifying the light response is not included. We introduce an algorithm for NEE partitioning that uses a hyperbolic light response curve fit to daytime NEE, modified to account for the temperature sensitivity of respiration and the VPD limitation of photosynthesis. Including the VPD dependency strongly improved the model's ability to reproduce the asymmetric diurnal cycle during periods with high VPD, and enhances the reliability of Reco estimates given that the reduction of GPP by VPD may be otherwise incorrectly attributed to higher Reco. Results from this improved algorithm are compared against estimates based on the conventional nighttime approach. The comparison demonstrates that the uncertainty arising from systematic errors dominates the overall uncertainty of annual sums (median absolute deviation of GPP: 47 g C m-2 yr-1), while errors arising from the random error (median absolute deviation: ~ 2gCm-2 yr-1) are negligible. Despite sitespecific differences between the methods, overall patterns remain robust, adding confidence to statistical studies based on the FLUXNET database. In particular, we show that the strong correlation between GPP and Reco is not spurious but holds true when quasi-independent, i.e. daytime and nighttime based estimates are compared. © 2009 Blackwell Publishing Ltd.","author":[{"dropping-particle":"","family":"Lasslop","given":"Gitta","non-dropping-particle":"","parse-names":false,"suffix":""},{"dropping-particle":"","family":"Reichstein","given":"Markus","non-dropping-particle":"","parse-names":false,"suffix":""},{"dropping-particle":"","family":"Papale","given":"Dario","non-dropping-particle":"","parse-names":false,"suffix":""},{"dropping-particle":"","family":"Richardson","given":"Andrewd","non-dropping-particle":"","parse-names":false,"suffix":""},{"dropping-particle":"","family":"Arneth","given":"Almut","non-dropping-particle":"","parse-names":false,"suffix":""},{"dropping-particle":"","family":"Barr","given":"Alan","non-dropping-particle":"","parse-names":false,"suffix":""},{"dropping-particle":"","family":"Stoy","given":"Paul","non-dropping-particle":"","parse-names":false,"suffix":""},{"dropping-particle":"","family":"Wohlfahrt","given":"Georg","non-dropping-particle":"","parse-names":false,"suffix":""}],"container-title":"Global Change Biology","id":"ITEM-2","issue":"1","issued":{"date-parts":[["2010"]]},"page":"187-208","title":"Separation of net ecosystem exchange into assimilation and respiration using a light response curve approach: Critical issues and global evaluation","type":"article-journal","volume":"16"},"uris":["http://www.mendeley.com/documents/?uuid=4774a019-0f2e-43f2-878f-89b98a2a4bc7"]}],"mendeley":{"formattedCitation":"(Falge et al., 2001; Lasslop et al., 2010)","plainTextFormattedCitation":"(Falge et al., 2001; Lasslop et al., 2010)","previouslyFormattedCitation":"(Falge et al., 2001; Lasslop et al., 2010)"},"properties":{"noteIndex":0},"schema":"https://github.com/citation-style-language/schema/raw/master/csl-citation.json"}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(Falge et al., 2001; Lasslop et al., 2010)</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xml:space="preserve"> to</w:t>
      </w:r>
      <w:r>
        <w:rPr>
          <w:rFonts w:ascii="Times New Roman" w:hAnsi="Times New Roman" w:cs="Times New Roman"/>
          <w:sz w:val="24"/>
          <w:szCs w:val="24"/>
        </w:rPr>
        <w:t xml:space="preserve"> half-hourly NEE </w:t>
      </w:r>
      <w:r w:rsidRPr="004F3E51">
        <w:rPr>
          <w:rFonts w:ascii="Times New Roman" w:eastAsia="Times New Roman" w:hAnsi="Times New Roman" w:cs="Times New Roman"/>
          <w:iCs/>
          <w:color w:val="000000" w:themeColor="text1"/>
          <w:kern w:val="24"/>
          <w:sz w:val="24"/>
          <w:szCs w:val="24"/>
        </w:rPr>
        <w:t>data (quality flag</w:t>
      </w:r>
      <w:r>
        <w:rPr>
          <w:rFonts w:ascii="Times New Roman" w:eastAsia="Times New Roman" w:hAnsi="Times New Roman" w:cs="Times New Roman"/>
          <w:iCs/>
          <w:color w:val="000000" w:themeColor="text1"/>
          <w:kern w:val="24"/>
          <w:sz w:val="24"/>
          <w:szCs w:val="24"/>
        </w:rPr>
        <w:t xml:space="preserve"> </w:t>
      </w:r>
      <w:r w:rsidRPr="004F3E51">
        <w:rPr>
          <w:rFonts w:ascii="Times New Roman" w:eastAsia="Times New Roman" w:hAnsi="Times New Roman" w:cs="Times New Roman"/>
          <w:iCs/>
          <w:color w:val="000000" w:themeColor="text1"/>
          <w:kern w:val="24"/>
          <w:sz w:val="24"/>
          <w:szCs w:val="24"/>
        </w:rPr>
        <w:t>=</w:t>
      </w:r>
      <w:r>
        <w:rPr>
          <w:rFonts w:ascii="Times New Roman" w:eastAsia="Times New Roman" w:hAnsi="Times New Roman" w:cs="Times New Roman"/>
          <w:iCs/>
          <w:color w:val="000000" w:themeColor="text1"/>
          <w:kern w:val="24"/>
          <w:sz w:val="24"/>
          <w:szCs w:val="24"/>
        </w:rPr>
        <w:t xml:space="preserve"> </w:t>
      </w:r>
      <w:r w:rsidRPr="004F3E51">
        <w:rPr>
          <w:rFonts w:ascii="Times New Roman" w:eastAsia="Times New Roman" w:hAnsi="Times New Roman" w:cs="Times New Roman"/>
          <w:iCs/>
          <w:color w:val="000000" w:themeColor="text1"/>
          <w:kern w:val="24"/>
          <w:sz w:val="24"/>
          <w:szCs w:val="24"/>
        </w:rPr>
        <w:t>0)</w:t>
      </w:r>
      <w:r>
        <w:rPr>
          <w:rFonts w:ascii="Times New Roman" w:eastAsia="Times New Roman" w:hAnsi="Times New Roman" w:cs="Times New Roman"/>
          <w:iCs/>
          <w:color w:val="000000" w:themeColor="text1"/>
          <w:kern w:val="24"/>
          <w:sz w:val="24"/>
          <w:szCs w:val="24"/>
        </w:rPr>
        <w:t xml:space="preserve"> from April 20 to May 15 as follows</w:t>
      </w:r>
      <w:r w:rsidRPr="004F3E51">
        <w:rPr>
          <w:rFonts w:ascii="Times New Roman" w:hAnsi="Times New Roman" w:cs="Times New Roman"/>
          <w:sz w:val="24"/>
          <w:szCs w:val="24"/>
        </w:rPr>
        <w:t>:</w:t>
      </w:r>
    </w:p>
    <w:p w14:paraId="4F9EB896" w14:textId="77777777" w:rsidR="00103AF5" w:rsidRPr="00352F9F" w:rsidRDefault="00103AF5" w:rsidP="00103AF5">
      <w:pPr>
        <w:spacing w:after="0" w:line="480" w:lineRule="auto"/>
        <w:rPr>
          <w:rFonts w:ascii="Times New Roman" w:eastAsia="Times New Roman" w:hAnsi="Times New Roman" w:cs="Times New Roman"/>
          <w:iCs/>
          <w:color w:val="000000" w:themeColor="text1"/>
          <w:kern w:val="24"/>
          <w:sz w:val="24"/>
          <w:szCs w:val="24"/>
        </w:rPr>
      </w:pPr>
      <m:oMath>
        <m:r>
          <w:rPr>
            <w:rFonts w:ascii="Cambria Math" w:hAnsi="Cambria Math" w:cs="Times New Roman"/>
            <w:color w:val="000000" w:themeColor="text1"/>
            <w:kern w:val="24"/>
            <w:sz w:val="24"/>
            <w:szCs w:val="24"/>
          </w:rPr>
          <m:t>NEE=-</m:t>
        </m:r>
        <m:f>
          <m:fPr>
            <m:ctrlPr>
              <w:rPr>
                <w:rFonts w:ascii="Cambria Math" w:eastAsia="Times New Roman" w:hAnsi="Cambria Math" w:cs="Times New Roman"/>
                <w:i/>
                <w:iCs/>
                <w:color w:val="000000" w:themeColor="text1"/>
                <w:kern w:val="24"/>
                <w:sz w:val="24"/>
                <w:szCs w:val="24"/>
              </w:rPr>
            </m:ctrlPr>
          </m:fPr>
          <m:num>
            <m:r>
              <w:rPr>
                <w:rFonts w:ascii="Cambria Math" w:hAnsi="Cambria Math" w:cs="Times New Roman"/>
                <w:color w:val="000000" w:themeColor="text1"/>
                <w:kern w:val="24"/>
                <w:sz w:val="24"/>
                <w:szCs w:val="24"/>
              </w:rPr>
              <m:t>α∙</m:t>
            </m:r>
            <m:sSub>
              <m:sSubPr>
                <m:ctrlPr>
                  <w:rPr>
                    <w:rFonts w:ascii="Cambria Math" w:hAnsi="Cambria Math" w:cs="Times New Roman"/>
                    <w:i/>
                    <w:color w:val="000000" w:themeColor="text1"/>
                    <w:kern w:val="24"/>
                    <w:sz w:val="24"/>
                    <w:szCs w:val="24"/>
                  </w:rPr>
                </m:ctrlPr>
              </m:sSubPr>
              <m:e>
                <m:r>
                  <w:rPr>
                    <w:rFonts w:ascii="Cambria Math" w:hAnsi="Cambria Math" w:cs="Times New Roman"/>
                    <w:color w:val="000000" w:themeColor="text1"/>
                    <w:kern w:val="24"/>
                    <w:sz w:val="24"/>
                    <w:szCs w:val="24"/>
                  </w:rPr>
                  <m:t>P</m:t>
                </m:r>
              </m:e>
              <m:sub>
                <m:r>
                  <w:rPr>
                    <w:rFonts w:ascii="Cambria Math" w:hAnsi="Cambria Math" w:cs="Times New Roman"/>
                    <w:color w:val="000000" w:themeColor="text1"/>
                    <w:kern w:val="24"/>
                    <w:sz w:val="24"/>
                    <w:szCs w:val="24"/>
                  </w:rPr>
                  <m:t>max</m:t>
                </m:r>
              </m:sub>
            </m:sSub>
            <m:r>
              <w:rPr>
                <w:rFonts w:ascii="Cambria Math" w:hAnsi="Cambria Math" w:cs="Times New Roman"/>
                <w:color w:val="000000" w:themeColor="text1"/>
                <w:kern w:val="24"/>
                <w:sz w:val="24"/>
                <w:szCs w:val="24"/>
              </w:rPr>
              <m:t>∙</m:t>
            </m:r>
            <m:sSub>
              <m:sSubPr>
                <m:ctrlPr>
                  <w:rPr>
                    <w:rFonts w:ascii="Cambria Math" w:eastAsia="Times New Roman" w:hAnsi="Cambria Math" w:cs="Times New Roman"/>
                    <w:i/>
                    <w:iCs/>
                    <w:color w:val="000000" w:themeColor="text1"/>
                    <w:kern w:val="24"/>
                    <w:sz w:val="24"/>
                    <w:szCs w:val="24"/>
                  </w:rPr>
                </m:ctrlPr>
              </m:sSubPr>
              <m:e>
                <m:r>
                  <w:rPr>
                    <w:rFonts w:ascii="Cambria Math" w:hAnsi="Cambria Math" w:cs="Times New Roman"/>
                    <w:color w:val="000000" w:themeColor="text1"/>
                    <w:kern w:val="24"/>
                    <w:sz w:val="24"/>
                    <w:szCs w:val="24"/>
                  </w:rPr>
                  <m:t>SW</m:t>
                </m:r>
              </m:e>
              <m:sub>
                <m:r>
                  <w:rPr>
                    <w:rFonts w:ascii="Cambria Math" w:hAnsi="Cambria Math" w:cs="Times New Roman"/>
                    <w:color w:val="000000" w:themeColor="text1"/>
                    <w:kern w:val="24"/>
                    <w:sz w:val="24"/>
                    <w:szCs w:val="24"/>
                  </w:rPr>
                  <m:t>in</m:t>
                </m:r>
              </m:sub>
            </m:sSub>
          </m:num>
          <m:den>
            <m:r>
              <w:rPr>
                <w:rFonts w:ascii="Cambria Math" w:hAnsi="Cambria Math" w:cs="Times New Roman"/>
                <w:color w:val="000000" w:themeColor="text1"/>
                <w:kern w:val="24"/>
                <w:sz w:val="24"/>
                <w:szCs w:val="24"/>
              </w:rPr>
              <m:t>α∙</m:t>
            </m:r>
            <m:sSub>
              <m:sSubPr>
                <m:ctrlPr>
                  <w:rPr>
                    <w:rFonts w:ascii="Cambria Math" w:eastAsia="Times New Roman" w:hAnsi="Cambria Math" w:cs="Times New Roman"/>
                    <w:i/>
                    <w:iCs/>
                    <w:color w:val="000000" w:themeColor="text1"/>
                    <w:kern w:val="24"/>
                    <w:sz w:val="24"/>
                    <w:szCs w:val="24"/>
                  </w:rPr>
                </m:ctrlPr>
              </m:sSubPr>
              <m:e>
                <m:r>
                  <w:rPr>
                    <w:rFonts w:ascii="Cambria Math" w:hAnsi="Cambria Math" w:cs="Times New Roman"/>
                    <w:color w:val="000000" w:themeColor="text1"/>
                    <w:kern w:val="24"/>
                    <w:sz w:val="24"/>
                    <w:szCs w:val="24"/>
                  </w:rPr>
                  <m:t>SW</m:t>
                </m:r>
              </m:e>
              <m:sub>
                <m:r>
                  <w:rPr>
                    <w:rFonts w:ascii="Cambria Math" w:hAnsi="Cambria Math" w:cs="Times New Roman"/>
                    <w:color w:val="000000" w:themeColor="text1"/>
                    <w:kern w:val="24"/>
                    <w:sz w:val="24"/>
                    <w:szCs w:val="24"/>
                  </w:rPr>
                  <m:t>in</m:t>
                </m:r>
              </m:sub>
            </m:sSub>
            <m:r>
              <w:rPr>
                <w:rFonts w:ascii="Cambria Math" w:hAnsi="Cambria Math" w:cs="Times New Roman"/>
                <w:color w:val="000000" w:themeColor="text1"/>
                <w:kern w:val="24"/>
                <w:sz w:val="24"/>
                <w:szCs w:val="24"/>
              </w:rPr>
              <m:t>+</m:t>
            </m:r>
            <m:sSub>
              <m:sSubPr>
                <m:ctrlPr>
                  <w:rPr>
                    <w:rFonts w:ascii="Cambria Math" w:hAnsi="Cambria Math" w:cs="Times New Roman"/>
                    <w:i/>
                    <w:color w:val="000000" w:themeColor="text1"/>
                    <w:kern w:val="24"/>
                    <w:sz w:val="24"/>
                    <w:szCs w:val="24"/>
                  </w:rPr>
                </m:ctrlPr>
              </m:sSubPr>
              <m:e>
                <m:r>
                  <w:rPr>
                    <w:rFonts w:ascii="Cambria Math" w:hAnsi="Cambria Math" w:cs="Times New Roman"/>
                    <w:color w:val="000000" w:themeColor="text1"/>
                    <w:kern w:val="24"/>
                    <w:sz w:val="24"/>
                    <w:szCs w:val="24"/>
                  </w:rPr>
                  <m:t>P</m:t>
                </m:r>
              </m:e>
              <m:sub>
                <m:r>
                  <w:rPr>
                    <w:rFonts w:ascii="Cambria Math" w:hAnsi="Cambria Math" w:cs="Times New Roman"/>
                    <w:color w:val="000000" w:themeColor="text1"/>
                    <w:kern w:val="24"/>
                    <w:sz w:val="24"/>
                    <w:szCs w:val="24"/>
                  </w:rPr>
                  <m:t>max</m:t>
                </m:r>
              </m:sub>
            </m:sSub>
          </m:den>
        </m:f>
        <m:r>
          <w:rPr>
            <w:rFonts w:ascii="Cambria Math" w:hAnsi="Cambria Math" w:cs="Times New Roman"/>
            <w:color w:val="000000" w:themeColor="text1"/>
            <w:kern w:val="24"/>
            <w:sz w:val="24"/>
            <w:szCs w:val="24"/>
          </w:rPr>
          <m:t>+γ</m:t>
        </m:r>
      </m:oMath>
      <w:r>
        <w:rPr>
          <w:rFonts w:ascii="Times New Roman" w:eastAsia="Times New Roman" w:hAnsi="Times New Roman" w:cs="Times New Roman"/>
          <w:iCs/>
          <w:color w:val="000000" w:themeColor="text1"/>
          <w:kern w:val="24"/>
          <w:sz w:val="24"/>
          <w:szCs w:val="24"/>
        </w:rPr>
        <w:tab/>
      </w:r>
      <w:r>
        <w:rPr>
          <w:rFonts w:ascii="Times New Roman" w:eastAsia="Times New Roman" w:hAnsi="Times New Roman" w:cs="Times New Roman"/>
          <w:iCs/>
          <w:color w:val="000000" w:themeColor="text1"/>
          <w:kern w:val="24"/>
          <w:sz w:val="24"/>
          <w:szCs w:val="24"/>
        </w:rPr>
        <w:tab/>
      </w:r>
      <w:r>
        <w:rPr>
          <w:rFonts w:ascii="Times New Roman" w:eastAsia="Times New Roman" w:hAnsi="Times New Roman" w:cs="Times New Roman"/>
          <w:iCs/>
          <w:color w:val="000000" w:themeColor="text1"/>
          <w:kern w:val="24"/>
          <w:sz w:val="24"/>
          <w:szCs w:val="24"/>
        </w:rPr>
        <w:tab/>
      </w:r>
      <w:r>
        <w:rPr>
          <w:rFonts w:ascii="Times New Roman" w:eastAsia="Times New Roman" w:hAnsi="Times New Roman" w:cs="Times New Roman"/>
          <w:iCs/>
          <w:color w:val="000000" w:themeColor="text1"/>
          <w:kern w:val="24"/>
          <w:sz w:val="24"/>
          <w:szCs w:val="24"/>
        </w:rPr>
        <w:tab/>
      </w:r>
      <w:r>
        <w:rPr>
          <w:rFonts w:ascii="Times New Roman" w:eastAsia="Times New Roman" w:hAnsi="Times New Roman" w:cs="Times New Roman"/>
          <w:iCs/>
          <w:color w:val="000000" w:themeColor="text1"/>
          <w:kern w:val="24"/>
          <w:sz w:val="24"/>
          <w:szCs w:val="24"/>
        </w:rPr>
        <w:tab/>
      </w:r>
      <w:r>
        <w:rPr>
          <w:rFonts w:ascii="Times New Roman" w:eastAsia="Times New Roman" w:hAnsi="Times New Roman" w:cs="Times New Roman"/>
          <w:iCs/>
          <w:color w:val="000000" w:themeColor="text1"/>
          <w:kern w:val="24"/>
          <w:sz w:val="24"/>
          <w:szCs w:val="24"/>
        </w:rPr>
        <w:tab/>
      </w:r>
      <w:r>
        <w:rPr>
          <w:rFonts w:ascii="Times New Roman" w:eastAsia="Times New Roman" w:hAnsi="Times New Roman" w:cs="Times New Roman"/>
          <w:iCs/>
          <w:color w:val="000000" w:themeColor="text1"/>
          <w:kern w:val="24"/>
          <w:sz w:val="24"/>
          <w:szCs w:val="24"/>
        </w:rPr>
        <w:tab/>
      </w:r>
      <w:r>
        <w:rPr>
          <w:rFonts w:ascii="Times New Roman" w:eastAsia="Times New Roman" w:hAnsi="Times New Roman" w:cs="Times New Roman"/>
          <w:iCs/>
          <w:color w:val="000000" w:themeColor="text1"/>
          <w:kern w:val="24"/>
          <w:sz w:val="24"/>
          <w:szCs w:val="24"/>
        </w:rPr>
        <w:tab/>
      </w:r>
      <w:r>
        <w:rPr>
          <w:rFonts w:ascii="Times New Roman" w:eastAsia="Times New Roman" w:hAnsi="Times New Roman" w:cs="Times New Roman"/>
          <w:iCs/>
          <w:color w:val="000000" w:themeColor="text1"/>
          <w:kern w:val="24"/>
          <w:sz w:val="24"/>
          <w:szCs w:val="24"/>
        </w:rPr>
        <w:tab/>
        <w:t xml:space="preserve">  </w:t>
      </w:r>
      <w:r w:rsidRPr="00356E15">
        <w:rPr>
          <w:rFonts w:ascii="Times New Roman" w:hAnsi="Times New Roman" w:cs="Times New Roman"/>
          <w:sz w:val="24"/>
          <w:szCs w:val="24"/>
        </w:rPr>
        <w:t>(</w:t>
      </w:r>
      <w:r>
        <w:rPr>
          <w:rFonts w:ascii="Times New Roman" w:hAnsi="Times New Roman" w:cs="Times New Roman"/>
          <w:sz w:val="24"/>
          <w:szCs w:val="24"/>
        </w:rPr>
        <w:t>3</w:t>
      </w:r>
      <w:r w:rsidRPr="00356E15">
        <w:rPr>
          <w:rFonts w:ascii="Times New Roman" w:hAnsi="Times New Roman" w:cs="Times New Roman"/>
          <w:sz w:val="24"/>
          <w:szCs w:val="24"/>
        </w:rPr>
        <w:t>)</w:t>
      </w:r>
    </w:p>
    <w:p w14:paraId="171C3EEB" w14:textId="77777777" w:rsidR="00103AF5" w:rsidRDefault="00103AF5" w:rsidP="00103AF5">
      <w:pPr>
        <w:snapToGrid w:val="0"/>
        <w:spacing w:after="0" w:line="480" w:lineRule="auto"/>
        <w:rPr>
          <w:rFonts w:ascii="Times New Roman" w:eastAsia="Times New Roman" w:hAnsi="Times New Roman" w:cs="Times New Roman"/>
          <w:iCs/>
          <w:color w:val="000000" w:themeColor="text1"/>
          <w:kern w:val="24"/>
          <w:sz w:val="24"/>
          <w:szCs w:val="24"/>
        </w:rPr>
      </w:pPr>
      <w:r>
        <w:rPr>
          <w:rFonts w:ascii="Times New Roman" w:eastAsia="Times New Roman" w:hAnsi="Times New Roman" w:cs="Times New Roman"/>
          <w:iCs/>
          <w:color w:val="000000" w:themeColor="text1"/>
          <w:kern w:val="24"/>
          <w:sz w:val="24"/>
          <w:szCs w:val="24"/>
        </w:rPr>
        <w:t xml:space="preserve">Here, </w:t>
      </w:r>
      <w:r w:rsidRPr="004F3E51">
        <w:rPr>
          <w:rFonts w:ascii="Times New Roman" w:eastAsia="Times New Roman" w:hAnsi="Times New Roman" w:cs="Times New Roman"/>
          <w:iCs/>
          <w:color w:val="000000" w:themeColor="text1"/>
          <w:kern w:val="24"/>
          <w:sz w:val="24"/>
          <w:szCs w:val="24"/>
        </w:rPr>
        <w:t>NEE (μmol m</w:t>
      </w:r>
      <w:r w:rsidRPr="004F3E51">
        <w:rPr>
          <w:rFonts w:ascii="Times New Roman" w:eastAsia="Times New Roman" w:hAnsi="Times New Roman" w:cs="Times New Roman"/>
          <w:iCs/>
          <w:color w:val="000000" w:themeColor="text1"/>
          <w:kern w:val="24"/>
          <w:sz w:val="24"/>
          <w:szCs w:val="24"/>
          <w:vertAlign w:val="superscript"/>
        </w:rPr>
        <w:t>−2</w:t>
      </w:r>
      <w:r w:rsidRPr="004F3E51">
        <w:rPr>
          <w:rFonts w:ascii="Times New Roman" w:eastAsia="Times New Roman" w:hAnsi="Times New Roman" w:cs="Times New Roman"/>
          <w:iCs/>
          <w:color w:val="000000" w:themeColor="text1"/>
          <w:kern w:val="24"/>
          <w:sz w:val="24"/>
          <w:szCs w:val="24"/>
        </w:rPr>
        <w:t xml:space="preserve"> s</w:t>
      </w:r>
      <w:r w:rsidRPr="004F3E51">
        <w:rPr>
          <w:rFonts w:ascii="Times New Roman" w:eastAsia="Times New Roman" w:hAnsi="Times New Roman" w:cs="Times New Roman"/>
          <w:iCs/>
          <w:color w:val="000000" w:themeColor="text1"/>
          <w:kern w:val="24"/>
          <w:sz w:val="24"/>
          <w:szCs w:val="24"/>
          <w:vertAlign w:val="superscript"/>
        </w:rPr>
        <w:t>−1</w:t>
      </w:r>
      <w:r w:rsidRPr="004F3E51">
        <w:rPr>
          <w:rFonts w:ascii="Times New Roman" w:eastAsia="Times New Roman" w:hAnsi="Times New Roman" w:cs="Times New Roman"/>
          <w:iCs/>
          <w:color w:val="000000" w:themeColor="text1"/>
          <w:kern w:val="24"/>
          <w:sz w:val="24"/>
          <w:szCs w:val="24"/>
        </w:rPr>
        <w:t>) is the net ecosystem CO</w:t>
      </w:r>
      <w:r w:rsidRPr="004F3E51">
        <w:rPr>
          <w:rFonts w:ascii="Times New Roman" w:eastAsia="Times New Roman" w:hAnsi="Times New Roman" w:cs="Times New Roman"/>
          <w:iCs/>
          <w:color w:val="000000" w:themeColor="text1"/>
          <w:kern w:val="24"/>
          <w:sz w:val="24"/>
          <w:szCs w:val="24"/>
          <w:vertAlign w:val="subscript"/>
        </w:rPr>
        <w:t>2</w:t>
      </w:r>
      <w:r w:rsidRPr="004F3E51">
        <w:rPr>
          <w:rFonts w:ascii="Times New Roman" w:eastAsia="Times New Roman" w:hAnsi="Times New Roman" w:cs="Times New Roman"/>
          <w:iCs/>
          <w:color w:val="000000" w:themeColor="text1"/>
          <w:kern w:val="24"/>
          <w:sz w:val="24"/>
          <w:szCs w:val="24"/>
        </w:rPr>
        <w:t xml:space="preserve"> exchange, </w:t>
      </w:r>
      <w:r w:rsidRPr="004F3E51">
        <w:rPr>
          <w:rFonts w:ascii="Times New Roman" w:eastAsia="Times New Roman" w:hAnsi="Times New Roman" w:cs="Times New Roman"/>
          <w:i/>
          <w:iCs/>
          <w:color w:val="000000" w:themeColor="text1"/>
          <w:kern w:val="24"/>
          <w:sz w:val="24"/>
          <w:szCs w:val="24"/>
        </w:rPr>
        <w:t>α</w:t>
      </w:r>
      <w:r w:rsidRPr="004F3E51">
        <w:rPr>
          <w:rFonts w:ascii="Times New Roman" w:eastAsia="Times New Roman" w:hAnsi="Times New Roman" w:cs="Times New Roman"/>
          <w:iCs/>
          <w:color w:val="000000" w:themeColor="text1"/>
          <w:kern w:val="24"/>
          <w:sz w:val="24"/>
          <w:szCs w:val="24"/>
        </w:rPr>
        <w:t xml:space="preserve"> (µmol CO</w:t>
      </w:r>
      <w:r w:rsidRPr="004F3E51">
        <w:rPr>
          <w:rFonts w:ascii="Times New Roman" w:eastAsia="Times New Roman" w:hAnsi="Times New Roman" w:cs="Times New Roman"/>
          <w:iCs/>
          <w:color w:val="000000" w:themeColor="text1"/>
          <w:kern w:val="24"/>
          <w:sz w:val="24"/>
          <w:szCs w:val="24"/>
          <w:vertAlign w:val="subscript"/>
        </w:rPr>
        <w:t>2</w:t>
      </w:r>
      <w:r w:rsidRPr="004F3E51">
        <w:rPr>
          <w:rFonts w:ascii="Times New Roman" w:eastAsia="Times New Roman" w:hAnsi="Times New Roman" w:cs="Times New Roman"/>
          <w:iCs/>
          <w:color w:val="000000" w:themeColor="text1"/>
          <w:kern w:val="24"/>
          <w:sz w:val="24"/>
          <w:szCs w:val="24"/>
        </w:rPr>
        <w:t xml:space="preserve"> J</w:t>
      </w:r>
      <w:r w:rsidRPr="004F3E51">
        <w:rPr>
          <w:rFonts w:ascii="Times New Roman" w:eastAsia="Times New Roman" w:hAnsi="Times New Roman" w:cs="Times New Roman"/>
          <w:iCs/>
          <w:color w:val="000000" w:themeColor="text1"/>
          <w:kern w:val="24"/>
          <w:sz w:val="24"/>
          <w:szCs w:val="24"/>
          <w:vertAlign w:val="superscript"/>
        </w:rPr>
        <w:t>−1</w:t>
      </w:r>
      <w:r w:rsidRPr="004F3E51">
        <w:rPr>
          <w:rFonts w:ascii="Times New Roman" w:eastAsia="Times New Roman" w:hAnsi="Times New Roman" w:cs="Times New Roman"/>
          <w:iCs/>
          <w:color w:val="000000" w:themeColor="text1"/>
          <w:kern w:val="24"/>
          <w:sz w:val="24"/>
          <w:szCs w:val="24"/>
        </w:rPr>
        <w:t xml:space="preserve">) </w:t>
      </w:r>
      <w:r>
        <w:rPr>
          <w:rFonts w:ascii="Times New Roman" w:eastAsia="Times New Roman" w:hAnsi="Times New Roman" w:cs="Times New Roman"/>
          <w:iCs/>
          <w:color w:val="000000" w:themeColor="text1"/>
          <w:kern w:val="24"/>
          <w:sz w:val="24"/>
          <w:szCs w:val="24"/>
        </w:rPr>
        <w:t xml:space="preserve">represents </w:t>
      </w:r>
      <w:r w:rsidRPr="004F3E51">
        <w:rPr>
          <w:rFonts w:ascii="Times New Roman" w:eastAsia="Times New Roman" w:hAnsi="Times New Roman" w:cs="Times New Roman"/>
          <w:iCs/>
          <w:color w:val="000000" w:themeColor="text1"/>
          <w:kern w:val="24"/>
          <w:sz w:val="24"/>
          <w:szCs w:val="24"/>
        </w:rPr>
        <w:t>the initial slope of the light-response curve</w:t>
      </w:r>
      <w:r>
        <w:rPr>
          <w:rFonts w:ascii="Times New Roman" w:eastAsia="Times New Roman" w:hAnsi="Times New Roman" w:cs="Times New Roman"/>
          <w:iCs/>
          <w:color w:val="000000" w:themeColor="text1"/>
          <w:kern w:val="24"/>
          <w:sz w:val="24"/>
          <w:szCs w:val="24"/>
        </w:rPr>
        <w:t xml:space="preserve"> (also known as </w:t>
      </w:r>
      <w:r w:rsidRPr="004F3E51">
        <w:rPr>
          <w:rFonts w:ascii="Times New Roman" w:eastAsia="Times New Roman" w:hAnsi="Times New Roman" w:cs="Times New Roman"/>
          <w:iCs/>
          <w:color w:val="000000" w:themeColor="text1"/>
          <w:kern w:val="24"/>
          <w:sz w:val="24"/>
          <w:szCs w:val="24"/>
        </w:rPr>
        <w:t xml:space="preserve">the canopy </w:t>
      </w:r>
      <w:r>
        <w:rPr>
          <w:rFonts w:ascii="Times New Roman" w:eastAsia="Times New Roman" w:hAnsi="Times New Roman" w:cs="Times New Roman"/>
          <w:iCs/>
          <w:color w:val="000000" w:themeColor="text1"/>
          <w:kern w:val="24"/>
          <w:sz w:val="24"/>
          <w:szCs w:val="24"/>
        </w:rPr>
        <w:t>radiation</w:t>
      </w:r>
      <w:r w:rsidRPr="004F3E51">
        <w:rPr>
          <w:rFonts w:ascii="Times New Roman" w:eastAsia="Times New Roman" w:hAnsi="Times New Roman" w:cs="Times New Roman"/>
          <w:iCs/>
          <w:color w:val="000000" w:themeColor="text1"/>
          <w:kern w:val="24"/>
          <w:sz w:val="24"/>
          <w:szCs w:val="24"/>
        </w:rPr>
        <w:t>-use efficiency</w:t>
      </w:r>
      <w:r>
        <w:rPr>
          <w:rFonts w:ascii="Times New Roman" w:eastAsia="Times New Roman" w:hAnsi="Times New Roman" w:cs="Times New Roman"/>
          <w:iCs/>
          <w:color w:val="000000" w:themeColor="text1"/>
          <w:kern w:val="24"/>
          <w:sz w:val="24"/>
          <w:szCs w:val="24"/>
        </w:rPr>
        <w:t>)</w:t>
      </w:r>
      <w:r w:rsidRPr="004F3E51">
        <w:rPr>
          <w:rFonts w:ascii="Times New Roman" w:eastAsia="Times New Roman" w:hAnsi="Times New Roman" w:cs="Times New Roman"/>
          <w:iCs/>
          <w:color w:val="000000" w:themeColor="text1"/>
          <w:kern w:val="24"/>
          <w:sz w:val="24"/>
          <w:szCs w:val="24"/>
        </w:rPr>
        <w:t xml:space="preserve">, </w:t>
      </w:r>
      <w:r w:rsidRPr="004F3E51">
        <w:rPr>
          <w:rFonts w:ascii="Times New Roman" w:eastAsia="Times New Roman" w:hAnsi="Times New Roman" w:cs="Times New Roman"/>
          <w:i/>
          <w:iCs/>
          <w:color w:val="000000" w:themeColor="text1"/>
          <w:kern w:val="24"/>
          <w:sz w:val="24"/>
          <w:szCs w:val="24"/>
        </w:rPr>
        <w:t>P</w:t>
      </w:r>
      <w:r w:rsidRPr="004F3E51">
        <w:rPr>
          <w:rFonts w:ascii="Times New Roman" w:eastAsia="Times New Roman" w:hAnsi="Times New Roman" w:cs="Times New Roman"/>
          <w:i/>
          <w:iCs/>
          <w:color w:val="000000" w:themeColor="text1"/>
          <w:kern w:val="24"/>
          <w:sz w:val="24"/>
          <w:szCs w:val="24"/>
          <w:vertAlign w:val="subscript"/>
        </w:rPr>
        <w:t>max</w:t>
      </w:r>
      <w:r w:rsidRPr="004F3E51">
        <w:rPr>
          <w:rFonts w:ascii="Times New Roman" w:eastAsia="Times New Roman" w:hAnsi="Times New Roman" w:cs="Times New Roman"/>
          <w:iCs/>
          <w:color w:val="000000" w:themeColor="text1"/>
          <w:kern w:val="24"/>
          <w:sz w:val="24"/>
          <w:szCs w:val="24"/>
        </w:rPr>
        <w:t xml:space="preserve"> (μmol CO</w:t>
      </w:r>
      <w:r w:rsidRPr="004F3E51">
        <w:rPr>
          <w:rFonts w:ascii="Times New Roman" w:eastAsia="Times New Roman" w:hAnsi="Times New Roman" w:cs="Times New Roman"/>
          <w:iCs/>
          <w:color w:val="000000" w:themeColor="text1"/>
          <w:kern w:val="24"/>
          <w:sz w:val="24"/>
          <w:szCs w:val="24"/>
          <w:vertAlign w:val="subscript"/>
        </w:rPr>
        <w:t>2</w:t>
      </w:r>
      <w:r w:rsidRPr="004F3E51">
        <w:rPr>
          <w:rFonts w:ascii="Times New Roman" w:eastAsia="Times New Roman" w:hAnsi="Times New Roman" w:cs="Times New Roman"/>
          <w:iCs/>
          <w:color w:val="000000" w:themeColor="text1"/>
          <w:kern w:val="24"/>
          <w:sz w:val="24"/>
          <w:szCs w:val="24"/>
        </w:rPr>
        <w:t xml:space="preserve"> m</w:t>
      </w:r>
      <w:r w:rsidRPr="004F3E51">
        <w:rPr>
          <w:rFonts w:ascii="Times New Roman" w:eastAsia="Times New Roman" w:hAnsi="Times New Roman" w:cs="Times New Roman"/>
          <w:iCs/>
          <w:color w:val="000000" w:themeColor="text1"/>
          <w:kern w:val="24"/>
          <w:sz w:val="24"/>
          <w:szCs w:val="24"/>
          <w:vertAlign w:val="superscript"/>
        </w:rPr>
        <w:t>−2</w:t>
      </w:r>
      <w:r w:rsidRPr="004F3E51">
        <w:rPr>
          <w:rFonts w:ascii="Times New Roman" w:eastAsia="Times New Roman" w:hAnsi="Times New Roman" w:cs="Times New Roman"/>
          <w:iCs/>
          <w:color w:val="000000" w:themeColor="text1"/>
          <w:kern w:val="24"/>
          <w:sz w:val="24"/>
          <w:szCs w:val="24"/>
        </w:rPr>
        <w:t xml:space="preserve"> s</w:t>
      </w:r>
      <w:r w:rsidRPr="004F3E51">
        <w:rPr>
          <w:rFonts w:ascii="Times New Roman" w:eastAsia="Times New Roman" w:hAnsi="Times New Roman" w:cs="Times New Roman"/>
          <w:iCs/>
          <w:color w:val="000000" w:themeColor="text1"/>
          <w:kern w:val="24"/>
          <w:sz w:val="24"/>
          <w:szCs w:val="24"/>
          <w:vertAlign w:val="superscript"/>
        </w:rPr>
        <w:t>−1</w:t>
      </w:r>
      <w:r w:rsidRPr="004F3E51">
        <w:rPr>
          <w:rFonts w:ascii="Times New Roman" w:eastAsia="Times New Roman" w:hAnsi="Times New Roman" w:cs="Times New Roman"/>
          <w:iCs/>
          <w:color w:val="000000" w:themeColor="text1"/>
          <w:kern w:val="24"/>
          <w:sz w:val="24"/>
          <w:szCs w:val="24"/>
        </w:rPr>
        <w:t>) denotes the maximum canopy CO</w:t>
      </w:r>
      <w:r w:rsidRPr="004F3E51">
        <w:rPr>
          <w:rFonts w:ascii="Times New Roman" w:eastAsia="Times New Roman" w:hAnsi="Times New Roman" w:cs="Times New Roman"/>
          <w:iCs/>
          <w:color w:val="000000" w:themeColor="text1"/>
          <w:kern w:val="24"/>
          <w:sz w:val="24"/>
          <w:szCs w:val="24"/>
          <w:vertAlign w:val="subscript"/>
        </w:rPr>
        <w:t>2</w:t>
      </w:r>
      <w:r w:rsidRPr="004F3E51">
        <w:rPr>
          <w:rFonts w:ascii="Times New Roman" w:eastAsia="Times New Roman" w:hAnsi="Times New Roman" w:cs="Times New Roman"/>
          <w:iCs/>
          <w:color w:val="000000" w:themeColor="text1"/>
          <w:kern w:val="24"/>
          <w:sz w:val="24"/>
          <w:szCs w:val="24"/>
        </w:rPr>
        <w:t xml:space="preserve"> uptake rate at light saturation, </w:t>
      </w:r>
      <w:r w:rsidRPr="004F3E51">
        <w:rPr>
          <w:rFonts w:ascii="Times New Roman" w:eastAsia="Times New Roman" w:hAnsi="Times New Roman" w:cs="Times New Roman"/>
          <w:i/>
          <w:iCs/>
          <w:color w:val="000000" w:themeColor="text1"/>
          <w:kern w:val="24"/>
          <w:sz w:val="24"/>
          <w:szCs w:val="24"/>
        </w:rPr>
        <w:t xml:space="preserve">γ </w:t>
      </w:r>
      <w:r w:rsidRPr="004F3E51">
        <w:rPr>
          <w:rFonts w:ascii="Times New Roman" w:eastAsia="Times New Roman" w:hAnsi="Times New Roman" w:cs="Times New Roman"/>
          <w:iCs/>
          <w:color w:val="000000" w:themeColor="text1"/>
          <w:kern w:val="24"/>
          <w:sz w:val="24"/>
          <w:szCs w:val="24"/>
        </w:rPr>
        <w:t>(μmol CO</w:t>
      </w:r>
      <w:r w:rsidRPr="004F3E51">
        <w:rPr>
          <w:rFonts w:ascii="Times New Roman" w:eastAsia="Times New Roman" w:hAnsi="Times New Roman" w:cs="Times New Roman"/>
          <w:iCs/>
          <w:color w:val="000000" w:themeColor="text1"/>
          <w:kern w:val="24"/>
          <w:sz w:val="24"/>
          <w:szCs w:val="24"/>
          <w:vertAlign w:val="subscript"/>
        </w:rPr>
        <w:t>2</w:t>
      </w:r>
      <w:r w:rsidRPr="004F3E51">
        <w:rPr>
          <w:rFonts w:ascii="Times New Roman" w:eastAsia="Times New Roman" w:hAnsi="Times New Roman" w:cs="Times New Roman"/>
          <w:iCs/>
          <w:color w:val="000000" w:themeColor="text1"/>
          <w:kern w:val="24"/>
          <w:sz w:val="24"/>
          <w:szCs w:val="24"/>
        </w:rPr>
        <w:t xml:space="preserve"> m</w:t>
      </w:r>
      <w:r w:rsidRPr="004F3E51">
        <w:rPr>
          <w:rFonts w:ascii="Times New Roman" w:eastAsia="Times New Roman" w:hAnsi="Times New Roman" w:cs="Times New Roman"/>
          <w:iCs/>
          <w:color w:val="000000" w:themeColor="text1"/>
          <w:kern w:val="24"/>
          <w:sz w:val="24"/>
          <w:szCs w:val="24"/>
          <w:vertAlign w:val="superscript"/>
        </w:rPr>
        <w:t>−2</w:t>
      </w:r>
      <w:r w:rsidRPr="004F3E51">
        <w:rPr>
          <w:rFonts w:ascii="Times New Roman" w:eastAsia="Times New Roman" w:hAnsi="Times New Roman" w:cs="Times New Roman"/>
          <w:iCs/>
          <w:color w:val="000000" w:themeColor="text1"/>
          <w:kern w:val="24"/>
          <w:sz w:val="24"/>
          <w:szCs w:val="24"/>
        </w:rPr>
        <w:t xml:space="preserve"> s</w:t>
      </w:r>
      <w:r w:rsidRPr="004F3E51">
        <w:rPr>
          <w:rFonts w:ascii="Times New Roman" w:eastAsia="Times New Roman" w:hAnsi="Times New Roman" w:cs="Times New Roman"/>
          <w:iCs/>
          <w:color w:val="000000" w:themeColor="text1"/>
          <w:kern w:val="24"/>
          <w:sz w:val="24"/>
          <w:szCs w:val="24"/>
          <w:vertAlign w:val="superscript"/>
        </w:rPr>
        <w:t>−1</w:t>
      </w:r>
      <w:r w:rsidRPr="004F3E51">
        <w:rPr>
          <w:rFonts w:ascii="Times New Roman" w:eastAsia="Times New Roman" w:hAnsi="Times New Roman" w:cs="Times New Roman"/>
          <w:iCs/>
          <w:color w:val="000000" w:themeColor="text1"/>
          <w:kern w:val="24"/>
          <w:sz w:val="24"/>
          <w:szCs w:val="24"/>
        </w:rPr>
        <w:t>) is ecosystem respiration (TER), and SW</w:t>
      </w:r>
      <w:r w:rsidRPr="004F3E51">
        <w:rPr>
          <w:rFonts w:ascii="Times New Roman" w:eastAsia="Times New Roman" w:hAnsi="Times New Roman" w:cs="Times New Roman"/>
          <w:iCs/>
          <w:color w:val="000000" w:themeColor="text1"/>
          <w:kern w:val="24"/>
          <w:sz w:val="24"/>
          <w:szCs w:val="24"/>
          <w:vertAlign w:val="subscript"/>
        </w:rPr>
        <w:t xml:space="preserve">in </w:t>
      </w:r>
      <w:r w:rsidRPr="004F3E51">
        <w:rPr>
          <w:rFonts w:ascii="Times New Roman" w:eastAsia="Times New Roman" w:hAnsi="Times New Roman" w:cs="Times New Roman"/>
          <w:iCs/>
          <w:color w:val="000000" w:themeColor="text1"/>
          <w:kern w:val="24"/>
          <w:sz w:val="24"/>
          <w:szCs w:val="24"/>
        </w:rPr>
        <w:t>(W m</w:t>
      </w:r>
      <w:r>
        <w:rPr>
          <w:rFonts w:ascii="Times New Roman" w:eastAsia="Times New Roman" w:hAnsi="Times New Roman" w:cs="Times New Roman"/>
          <w:iCs/>
          <w:color w:val="000000" w:themeColor="text1"/>
          <w:kern w:val="24"/>
          <w:sz w:val="24"/>
          <w:szCs w:val="24"/>
          <w:vertAlign w:val="superscript"/>
        </w:rPr>
        <w:t>−</w:t>
      </w:r>
      <w:r w:rsidRPr="004F3E51">
        <w:rPr>
          <w:rFonts w:ascii="Times New Roman" w:eastAsia="Times New Roman" w:hAnsi="Times New Roman" w:cs="Times New Roman"/>
          <w:iCs/>
          <w:color w:val="000000" w:themeColor="text1"/>
          <w:kern w:val="24"/>
          <w:sz w:val="24"/>
          <w:szCs w:val="24"/>
          <w:vertAlign w:val="superscript"/>
        </w:rPr>
        <w:t>2</w:t>
      </w:r>
      <w:r w:rsidRPr="004F3E51">
        <w:rPr>
          <w:rFonts w:ascii="Times New Roman" w:eastAsia="Times New Roman" w:hAnsi="Times New Roman" w:cs="Times New Roman"/>
          <w:iCs/>
          <w:color w:val="000000" w:themeColor="text1"/>
          <w:kern w:val="24"/>
          <w:sz w:val="24"/>
          <w:szCs w:val="24"/>
        </w:rPr>
        <w:t xml:space="preserve">) </w:t>
      </w:r>
      <w:r>
        <w:rPr>
          <w:rFonts w:ascii="Times New Roman" w:eastAsia="Times New Roman" w:hAnsi="Times New Roman" w:cs="Times New Roman"/>
          <w:iCs/>
          <w:color w:val="000000" w:themeColor="text1"/>
          <w:kern w:val="24"/>
          <w:sz w:val="24"/>
          <w:szCs w:val="24"/>
        </w:rPr>
        <w:t xml:space="preserve">is </w:t>
      </w:r>
      <w:r w:rsidRPr="004F3E51">
        <w:rPr>
          <w:rFonts w:ascii="Times New Roman" w:eastAsia="Times New Roman" w:hAnsi="Times New Roman" w:cs="Times New Roman"/>
          <w:iCs/>
          <w:color w:val="000000" w:themeColor="text1"/>
          <w:kern w:val="24"/>
          <w:sz w:val="24"/>
          <w:szCs w:val="24"/>
        </w:rPr>
        <w:t xml:space="preserve">the incoming shortwave radiation. </w:t>
      </w:r>
      <w:r>
        <w:rPr>
          <w:rFonts w:ascii="Times New Roman" w:eastAsia="Times New Roman" w:hAnsi="Times New Roman" w:cs="Times New Roman"/>
          <w:iCs/>
          <w:color w:val="000000" w:themeColor="text1"/>
          <w:kern w:val="24"/>
          <w:sz w:val="24"/>
          <w:szCs w:val="24"/>
        </w:rPr>
        <w:t>T</w:t>
      </w:r>
      <w:r w:rsidRPr="004F3E51">
        <w:rPr>
          <w:rFonts w:ascii="Times New Roman" w:eastAsia="Times New Roman" w:hAnsi="Times New Roman" w:cs="Times New Roman"/>
          <w:iCs/>
          <w:color w:val="000000" w:themeColor="text1"/>
          <w:kern w:val="24"/>
          <w:sz w:val="24"/>
          <w:szCs w:val="24"/>
        </w:rPr>
        <w:t xml:space="preserve">o </w:t>
      </w:r>
      <w:r>
        <w:rPr>
          <w:rFonts w:ascii="Times New Roman" w:eastAsia="Times New Roman" w:hAnsi="Times New Roman" w:cs="Times New Roman"/>
          <w:iCs/>
          <w:color w:val="000000" w:themeColor="text1"/>
          <w:kern w:val="24"/>
          <w:sz w:val="24"/>
          <w:szCs w:val="24"/>
        </w:rPr>
        <w:t xml:space="preserve">avoid the confounding </w:t>
      </w:r>
      <w:r w:rsidRPr="004F3E51">
        <w:rPr>
          <w:rFonts w:ascii="Times New Roman" w:eastAsia="Times New Roman" w:hAnsi="Times New Roman" w:cs="Times New Roman"/>
          <w:iCs/>
          <w:color w:val="000000" w:themeColor="text1"/>
          <w:kern w:val="24"/>
          <w:sz w:val="24"/>
          <w:szCs w:val="24"/>
        </w:rPr>
        <w:t xml:space="preserve">effect of vapour pressure deficit (VPD) limitation on </w:t>
      </w:r>
      <w:r>
        <w:rPr>
          <w:rFonts w:ascii="Times New Roman" w:eastAsia="Times New Roman" w:hAnsi="Times New Roman" w:cs="Times New Roman"/>
          <w:iCs/>
          <w:color w:val="000000" w:themeColor="text1"/>
          <w:kern w:val="24"/>
          <w:sz w:val="24"/>
          <w:szCs w:val="24"/>
        </w:rPr>
        <w:t xml:space="preserve">canopy conductance and photosynthesis, we included only data where the VPD was less than 0.15 kPa in the analysis. </w:t>
      </w:r>
    </w:p>
    <w:p w14:paraId="31A66A7B" w14:textId="77777777" w:rsidR="00103AF5" w:rsidRDefault="00103AF5" w:rsidP="00103AF5">
      <w:pPr>
        <w:snapToGrid w:val="0"/>
        <w:spacing w:after="0" w:line="480" w:lineRule="auto"/>
        <w:rPr>
          <w:rFonts w:ascii="Times New Roman" w:eastAsia="Times New Roman" w:hAnsi="Times New Roman" w:cs="Times New Roman"/>
          <w:iCs/>
          <w:color w:val="000000" w:themeColor="text1"/>
          <w:kern w:val="24"/>
          <w:sz w:val="24"/>
          <w:szCs w:val="24"/>
        </w:rPr>
      </w:pPr>
    </w:p>
    <w:p w14:paraId="584FB17F" w14:textId="77777777" w:rsidR="00103AF5" w:rsidRPr="00CD5B1F" w:rsidRDefault="00103AF5" w:rsidP="00103AF5">
      <w:pPr>
        <w:snapToGrid w:val="0"/>
        <w:spacing w:after="0" w:line="480" w:lineRule="auto"/>
        <w:rPr>
          <w:rFonts w:ascii="Times New Roman" w:eastAsia="Times New Roman" w:hAnsi="Times New Roman" w:cs="Times New Roman"/>
          <w:iCs/>
          <w:color w:val="000000" w:themeColor="text1"/>
          <w:kern w:val="24"/>
          <w:sz w:val="24"/>
          <w:szCs w:val="24"/>
        </w:rPr>
      </w:pPr>
      <w:r>
        <w:rPr>
          <w:rFonts w:ascii="Times New Roman" w:eastAsia="Times New Roman" w:hAnsi="Times New Roman" w:cs="Times New Roman"/>
          <w:b/>
          <w:iCs/>
          <w:color w:val="000000" w:themeColor="text1"/>
          <w:kern w:val="24"/>
          <w:sz w:val="24"/>
          <w:szCs w:val="24"/>
        </w:rPr>
        <w:t xml:space="preserve">2.7 </w:t>
      </w:r>
      <w:r w:rsidRPr="004F3E51">
        <w:rPr>
          <w:rFonts w:ascii="Times New Roman" w:eastAsia="Times New Roman" w:hAnsi="Times New Roman" w:cs="Times New Roman"/>
          <w:b/>
          <w:iCs/>
          <w:color w:val="000000" w:themeColor="text1"/>
          <w:kern w:val="24"/>
          <w:sz w:val="24"/>
          <w:szCs w:val="24"/>
        </w:rPr>
        <w:t xml:space="preserve">Multiple linear model and simulation </w:t>
      </w:r>
    </w:p>
    <w:p w14:paraId="0459338D" w14:textId="77777777" w:rsidR="00103AF5" w:rsidRDefault="00103AF5" w:rsidP="00103AF5">
      <w:pPr>
        <w:snapToGrid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investigate the causes of the GPP anomalies, we constructed multivariate models based on spring data from</w:t>
      </w:r>
      <w:r>
        <w:rPr>
          <w:rFonts w:ascii="Times New Roman" w:eastAsia="Times New Roman" w:hAnsi="Times New Roman" w:cs="Times New Roman"/>
          <w:sz w:val="24"/>
          <w:szCs w:val="24"/>
          <w:lang w:val="en-MY"/>
        </w:rPr>
        <w:t xml:space="preserve"> the reference period and compared the estimates from simulations to observed values. </w:t>
      </w:r>
      <w:r>
        <w:rPr>
          <w:rFonts w:ascii="Times New Roman" w:eastAsia="Times New Roman" w:hAnsi="Times New Roman" w:cs="Times New Roman"/>
          <w:sz w:val="24"/>
          <w:szCs w:val="24"/>
        </w:rPr>
        <w:t>Using</w:t>
      </w:r>
      <w:r w:rsidRPr="004F3E51">
        <w:rPr>
          <w:rFonts w:ascii="Times New Roman" w:eastAsia="Times New Roman" w:hAnsi="Times New Roman" w:cs="Times New Roman"/>
          <w:sz w:val="24"/>
          <w:szCs w:val="24"/>
        </w:rPr>
        <w:t xml:space="preserve"> meteorological</w:t>
      </w:r>
      <w:r>
        <w:rPr>
          <w:rFonts w:ascii="Times New Roman" w:eastAsia="Times New Roman" w:hAnsi="Times New Roman" w:cs="Times New Roman"/>
          <w:sz w:val="24"/>
          <w:szCs w:val="24"/>
        </w:rPr>
        <w:t xml:space="preserve"> variables</w:t>
      </w:r>
      <w:r w:rsidRPr="004F3E51">
        <w:rPr>
          <w:rFonts w:ascii="Times New Roman" w:eastAsia="Times New Roman" w:hAnsi="Times New Roman" w:cs="Times New Roman"/>
          <w:sz w:val="24"/>
          <w:szCs w:val="24"/>
        </w:rPr>
        <w:t xml:space="preserve"> (SW</w:t>
      </w:r>
      <w:r w:rsidRPr="004F3E51">
        <w:rPr>
          <w:rFonts w:ascii="Times New Roman" w:eastAsia="Times New Roman" w:hAnsi="Times New Roman" w:cs="Times New Roman"/>
          <w:sz w:val="24"/>
          <w:szCs w:val="24"/>
          <w:vertAlign w:val="subscript"/>
        </w:rPr>
        <w:t>in</w:t>
      </w:r>
      <w:r w:rsidRPr="004F3E51">
        <w:rPr>
          <w:rFonts w:ascii="Times New Roman" w:eastAsia="Times New Roman" w:hAnsi="Times New Roman" w:cs="Times New Roman"/>
          <w:sz w:val="24"/>
          <w:szCs w:val="24"/>
        </w:rPr>
        <w:t>, SW</w:t>
      </w:r>
      <w:r w:rsidRPr="004F3E51">
        <w:rPr>
          <w:rFonts w:ascii="Times New Roman" w:eastAsia="Times New Roman" w:hAnsi="Times New Roman" w:cs="Times New Roman"/>
          <w:sz w:val="24"/>
          <w:szCs w:val="24"/>
          <w:vertAlign w:val="subscript"/>
        </w:rPr>
        <w:t>dif</w:t>
      </w:r>
      <w:r w:rsidRPr="004F3E51">
        <w:rPr>
          <w:rFonts w:ascii="Times New Roman" w:eastAsia="Times New Roman" w:hAnsi="Times New Roman" w:cs="Times New Roman"/>
          <w:sz w:val="24"/>
          <w:szCs w:val="24"/>
        </w:rPr>
        <w:t xml:space="preserve">, </w:t>
      </w:r>
      <w:r w:rsidRPr="007E79BB">
        <w:rPr>
          <w:rFonts w:ascii="Times New Roman" w:eastAsia="Times New Roman" w:hAnsi="Times New Roman" w:cs="Times New Roman"/>
          <w:i/>
          <w:iCs/>
          <w:sz w:val="24"/>
          <w:szCs w:val="24"/>
        </w:rPr>
        <w:t>T</w:t>
      </w:r>
      <w:r w:rsidRPr="007E79BB">
        <w:rPr>
          <w:rFonts w:ascii="Times New Roman" w:eastAsia="Times New Roman" w:hAnsi="Times New Roman" w:cs="Times New Roman"/>
          <w:i/>
          <w:iCs/>
          <w:sz w:val="24"/>
          <w:szCs w:val="24"/>
          <w:vertAlign w:val="subscript"/>
        </w:rPr>
        <w:t>a</w:t>
      </w:r>
      <w:r w:rsidRPr="004F3E51">
        <w:rPr>
          <w:rFonts w:ascii="Times New Roman" w:eastAsia="Times New Roman" w:hAnsi="Times New Roman" w:cs="Times New Roman"/>
          <w:sz w:val="24"/>
          <w:szCs w:val="24"/>
        </w:rPr>
        <w:t xml:space="preserve">, VPD) </w:t>
      </w:r>
      <w:r>
        <w:rPr>
          <w:rFonts w:ascii="Times New Roman" w:eastAsia="Times New Roman" w:hAnsi="Times New Roman" w:cs="Times New Roman"/>
          <w:sz w:val="24"/>
          <w:szCs w:val="24"/>
        </w:rPr>
        <w:t xml:space="preserve">obtained </w:t>
      </w:r>
      <w:r w:rsidRPr="004F3E51">
        <w:rPr>
          <w:rFonts w:ascii="Times New Roman" w:eastAsia="Times New Roman" w:hAnsi="Times New Roman" w:cs="Times New Roman"/>
          <w:sz w:val="24"/>
          <w:szCs w:val="24"/>
        </w:rPr>
        <w:t>at each site</w:t>
      </w:r>
      <w:r>
        <w:rPr>
          <w:rFonts w:ascii="Times New Roman" w:eastAsia="Times New Roman" w:hAnsi="Times New Roman" w:cs="Times New Roman"/>
          <w:sz w:val="24"/>
          <w:szCs w:val="24"/>
        </w:rPr>
        <w:t>, w</w:t>
      </w:r>
      <w:r w:rsidRPr="004F3E51">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 xml:space="preserve">built </w:t>
      </w:r>
      <w:r w:rsidRPr="004F3E5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multivariate </w:t>
      </w:r>
      <w:r w:rsidRPr="004F3E51">
        <w:rPr>
          <w:rFonts w:ascii="Times New Roman" w:eastAsia="Times New Roman" w:hAnsi="Times New Roman" w:cs="Times New Roman"/>
          <w:sz w:val="24"/>
          <w:szCs w:val="24"/>
        </w:rPr>
        <w:t xml:space="preserve">model </w:t>
      </w:r>
      <w:r>
        <w:rPr>
          <w:rFonts w:ascii="Times New Roman" w:eastAsia="Times New Roman" w:hAnsi="Times New Roman" w:cs="Times New Roman"/>
          <w:sz w:val="24"/>
          <w:szCs w:val="24"/>
        </w:rPr>
        <w:t>of GPP with a least square regression</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identified t</w:t>
      </w:r>
      <w:r w:rsidRPr="004F3E51">
        <w:rPr>
          <w:rFonts w:ascii="Times New Roman" w:eastAsia="Times New Roman" w:hAnsi="Times New Roman" w:cs="Times New Roman"/>
          <w:sz w:val="24"/>
          <w:szCs w:val="24"/>
        </w:rPr>
        <w:t xml:space="preserve">he most parsimonious linear model of GPP </w:t>
      </w:r>
      <w:r>
        <w:rPr>
          <w:rFonts w:ascii="Times New Roman" w:eastAsia="Times New Roman" w:hAnsi="Times New Roman" w:cs="Times New Roman"/>
          <w:sz w:val="24"/>
          <w:szCs w:val="24"/>
        </w:rPr>
        <w:t xml:space="preserve">by applying </w:t>
      </w:r>
      <w:r w:rsidRPr="004F3E51">
        <w:rPr>
          <w:rFonts w:ascii="Times New Roman" w:eastAsia="Times New Roman" w:hAnsi="Times New Roman" w:cs="Times New Roman"/>
          <w:sz w:val="24"/>
          <w:szCs w:val="24"/>
        </w:rPr>
        <w:t xml:space="preserve">information criterion techniques via the dredge function of the “MuMIn” package in R </w:t>
      </w:r>
      <w:r w:rsidRPr="004F3E51">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{"citationItems":[{"id":"ITEM-1","itemData":{"author":[{"dropping-particle":"","family":"Bartoń","given":"Kamil","non-dropping-particle":"","parse-names":false,"suffix":""}],"id":"ITEM-1","issued":{"date-parts":[["2020"]]},"title":"MuMIn: Multi-Model Inference. R package version 1.43.17","type":"article"},"uris":["http://www.mendeley.com/documents/?uuid=557df4d6-11ce-4613-963d-3072f364aa12"]},{"id":"ITEM-2","itemData":{"DOI":"10.1029/2017GL076457","ISSN":"19448007","abstract":"Tropical biogenic sources are a likely cause of the recent increase in global atmospheric methane concentration. To improve our understanding of tropical methane sources, we used the eddy covariance technique to measure CH4 flux (FCH4) between a tropical peat forest ecosystem and the atmosphere in Malaysian Borneo over a 2-month period during the wet season. Mean daily FCH4 during the measurement period, on the order of 0.024 g C-CH4·m−2·day−1, was similar to eddy covariance FCH4 measurements from tropical rice agroecosystems and boreal fen ecosystems. A linear modeling analysis demonstrated that air temperature (Tair) was critical for modeling FCH4 before the water table breached the surface and that water table alone explained some 20% of observed FCH4 variability once standing water emerged. Future research should measure FCH4 on an annual basis from multiple tropical ecosystems to better constrain tropical biogenic methane sources.","author":[{"dropping-particle":"","family":"Tang","given":"Angela C.I.","non-dropping-particle":"","parse-names":false,"suffix":""},{"dropping-particle":"","family":"Stoy","given":"Paul C.","non-dropping-particle":"","parse-names":false,"suffix":""},{"dropping-particle":"","family":"Hirata","given":"Ryuichi","non-dropping-particle":"","parse-names":false,"suffix":""},{"dropping-particle":"","family":"Musin","given":"Kevin K.","non-dropping-particle":"","parse-names":false,"suffix":""},{"dropping-particle":"","family":"Aeries","given":"Edward B.","non-dropping-particle":"","parse-names":false,"suffix":""},{"dropping-particle":"","family":"Wenceslaus","given":"Joseph","non-dropping-particle":"","parse-names":false,"suffix":""},{"dropping-particle":"","family":"Melling","given":"Lulie","non-dropping-particle":"","parse-names":false,"suffix":""}],"container-title":"Geophysical Research Letters","id":"ITEM-2","issue":"9","issued":{"date-parts":[["2018"]]},"page":"4390-4399","title":"Eddy Covariance Measurements of Methane Flux at a Tropical Peat Forest in Sarawak, Malaysian Borneo","type":"article-journal","volume":"45"},"uris":["http://www.mendeley.com/documents/?uuid=dd22d12a-ff64-4ec6-a1fe-3c63d5791880"]}],"mendeley":{"formattedCitation":"(Bartoń, 2020; Tang et al., 2018)","plainTextFormattedCitation":"(Bartoń, 2020; Tang et al., 2018)","previouslyFormattedCitation":"(Bartoń, 2020; Tang et al., 2018)"},"properties":{"noteIndex":0},"schema":"https://github.com/citation-style-language/schema/raw/master/csl-citation.json"}</w:instrText>
      </w:r>
      <w:r w:rsidRPr="004F3E51">
        <w:rPr>
          <w:rFonts w:ascii="Times New Roman" w:eastAsia="Times New Roman" w:hAnsi="Times New Roman" w:cs="Times New Roman"/>
          <w:sz w:val="24"/>
          <w:szCs w:val="24"/>
        </w:rPr>
        <w:fldChar w:fldCharType="separate"/>
      </w:r>
      <w:r w:rsidRPr="00045A1D">
        <w:rPr>
          <w:rFonts w:ascii="Times New Roman" w:eastAsia="Times New Roman" w:hAnsi="Times New Roman" w:cs="Times New Roman"/>
          <w:noProof/>
          <w:sz w:val="24"/>
          <w:szCs w:val="24"/>
        </w:rPr>
        <w:t>(Bartoń, 2020; Tang et al., 2018)</w:t>
      </w:r>
      <w:r w:rsidRPr="004F3E51">
        <w:rPr>
          <w:rFonts w:ascii="Times New Roman" w:eastAsia="Times New Roman" w:hAnsi="Times New Roman" w:cs="Times New Roman"/>
          <w:sz w:val="24"/>
          <w:szCs w:val="24"/>
        </w:rPr>
        <w:fldChar w:fldCharType="end"/>
      </w:r>
      <w:r w:rsidRPr="004F3E51">
        <w:rPr>
          <w:rFonts w:ascii="Times New Roman" w:eastAsia="Times New Roman" w:hAnsi="Times New Roman" w:cs="Times New Roman"/>
          <w:sz w:val="24"/>
          <w:szCs w:val="24"/>
        </w:rPr>
        <w:t xml:space="preserve">. The dredge algorithm </w:t>
      </w:r>
      <w:r>
        <w:rPr>
          <w:rFonts w:ascii="Times New Roman" w:eastAsia="Times New Roman" w:hAnsi="Times New Roman" w:cs="Times New Roman"/>
          <w:sz w:val="24"/>
          <w:szCs w:val="24"/>
        </w:rPr>
        <w:t xml:space="preserve">generates </w:t>
      </w:r>
      <w:r w:rsidRPr="004F3E51">
        <w:rPr>
          <w:rFonts w:ascii="Times New Roman" w:eastAsia="Times New Roman" w:hAnsi="Times New Roman" w:cs="Times New Roman"/>
          <w:sz w:val="24"/>
          <w:szCs w:val="24"/>
        </w:rPr>
        <w:t xml:space="preserve">all possible univariate and multivariate models of </w:t>
      </w:r>
      <w:r>
        <w:rPr>
          <w:rFonts w:ascii="Times New Roman" w:eastAsia="Times New Roman" w:hAnsi="Times New Roman" w:cs="Times New Roman"/>
          <w:sz w:val="24"/>
          <w:szCs w:val="24"/>
        </w:rPr>
        <w:t xml:space="preserve">the response </w:t>
      </w:r>
      <w:r w:rsidRPr="004F3E51">
        <w:rPr>
          <w:rFonts w:ascii="Times New Roman" w:eastAsia="Times New Roman" w:hAnsi="Times New Roman" w:cs="Times New Roman"/>
          <w:sz w:val="24"/>
          <w:szCs w:val="24"/>
        </w:rPr>
        <w:t xml:space="preserve">variable (GPP) based on </w:t>
      </w:r>
      <w:r>
        <w:rPr>
          <w:rFonts w:ascii="Times New Roman" w:eastAsia="Times New Roman" w:hAnsi="Times New Roman" w:cs="Times New Roman"/>
          <w:sz w:val="24"/>
          <w:szCs w:val="24"/>
        </w:rPr>
        <w:t xml:space="preserve">predictors </w:t>
      </w:r>
      <w:r w:rsidRPr="004F3E51">
        <w:rPr>
          <w:rFonts w:ascii="Times New Roman" w:eastAsia="Times New Roman" w:hAnsi="Times New Roman" w:cs="Times New Roman"/>
          <w:sz w:val="24"/>
          <w:szCs w:val="24"/>
        </w:rPr>
        <w:t xml:space="preserve">(meteorological </w:t>
      </w:r>
      <w:r>
        <w:rPr>
          <w:rFonts w:ascii="Times New Roman" w:eastAsia="Times New Roman" w:hAnsi="Times New Roman" w:cs="Times New Roman"/>
          <w:sz w:val="24"/>
          <w:szCs w:val="24"/>
        </w:rPr>
        <w:t xml:space="preserve">and/or pollutant </w:t>
      </w:r>
      <w:r w:rsidRPr="004F3E51">
        <w:rPr>
          <w:rFonts w:ascii="Times New Roman" w:eastAsia="Times New Roman" w:hAnsi="Times New Roman" w:cs="Times New Roman"/>
          <w:sz w:val="24"/>
          <w:szCs w:val="24"/>
        </w:rPr>
        <w:t xml:space="preserve">variables) and selects the model with the minimum value of the Akaike information criterion (AIC) − the model with the lowest value of the likelihood function by number of model parameters − as the most </w:t>
      </w:r>
      <w:r w:rsidRPr="004F3E51">
        <w:rPr>
          <w:rFonts w:ascii="Times New Roman" w:eastAsia="Times New Roman" w:hAnsi="Times New Roman" w:cs="Times New Roman"/>
          <w:sz w:val="24"/>
          <w:szCs w:val="24"/>
        </w:rPr>
        <w:lastRenderedPageBreak/>
        <w:t xml:space="preserve">parsimonious </w:t>
      </w:r>
      <w:r w:rsidRPr="004F3E51">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{"citationItems":[{"id":"ITEM-1","itemData":{"author":[{"dropping-particle":"","family":"Akaike","given":"Hirotugu","non-dropping-particle":"","parse-names":false,"suffix":""}],"container-title":"IEEE transactions on automatic control","id":"ITEM-1","issue":"6","issued":{"date-parts":[["1976"]]},"page":"716-723","title":"A new look at the statistical model identification","type":"article-journal","volume":"19"},"uris":["http://www.mendeley.com/documents/?uuid=912c8bd0-fff8-425e-8f0c-c1fcb585d961"]}],"mendeley":{"formattedCitation":"(Akaike, 1976)","plainTextFormattedCitation":"(Akaike, 1976)","previouslyFormattedCitation":"(Akaike, 1976)"},"properties":{"noteIndex":0},"schema":"https://github.com/citation-style-language/schema/raw/master/csl-citation.json"}</w:instrText>
      </w:r>
      <w:r w:rsidRPr="004F3E51">
        <w:rPr>
          <w:rFonts w:ascii="Times New Roman" w:eastAsia="Times New Roman" w:hAnsi="Times New Roman" w:cs="Times New Roman"/>
          <w:sz w:val="24"/>
          <w:szCs w:val="24"/>
        </w:rPr>
        <w:fldChar w:fldCharType="separate"/>
      </w:r>
      <w:r w:rsidRPr="00045A1D">
        <w:rPr>
          <w:rFonts w:ascii="Times New Roman" w:eastAsia="Times New Roman" w:hAnsi="Times New Roman" w:cs="Times New Roman"/>
          <w:noProof/>
          <w:sz w:val="24"/>
          <w:szCs w:val="24"/>
        </w:rPr>
        <w:t>(Akaike, 1976)</w:t>
      </w:r>
      <w:r w:rsidRPr="004F3E51">
        <w:rPr>
          <w:rFonts w:ascii="Times New Roman" w:eastAsia="Times New Roman" w:hAnsi="Times New Roman" w:cs="Times New Roman"/>
          <w:sz w:val="24"/>
          <w:szCs w:val="24"/>
        </w:rPr>
        <w:fldChar w:fldCharType="end"/>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then used this model to predict </w:t>
      </w:r>
      <w:r w:rsidRPr="004F3E51">
        <w:rPr>
          <w:rFonts w:ascii="Times New Roman" w:eastAsia="Times New Roman" w:hAnsi="Times New Roman" w:cs="Times New Roman"/>
          <w:sz w:val="24"/>
          <w:szCs w:val="24"/>
        </w:rPr>
        <w:t xml:space="preserve">the 2020 GPP </w:t>
      </w:r>
      <w:r>
        <w:rPr>
          <w:rFonts w:ascii="Times New Roman" w:eastAsia="Times New Roman" w:hAnsi="Times New Roman" w:cs="Times New Roman"/>
          <w:sz w:val="24"/>
          <w:szCs w:val="24"/>
        </w:rPr>
        <w:t>at a daily time scale.</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addition to </w:t>
      </w:r>
      <w:r w:rsidRPr="00B525F6">
        <w:rPr>
          <w:rFonts w:ascii="Times New Roman" w:eastAsia="Times New Roman" w:hAnsi="Times New Roman" w:cs="Times New Roman"/>
          <w:i/>
          <w:iCs/>
          <w:sz w:val="24"/>
          <w:szCs w:val="24"/>
        </w:rPr>
        <w:t>R</w:t>
      </w:r>
      <w:r w:rsidRPr="00B525F6">
        <w:rPr>
          <w:rFonts w:ascii="Times New Roman" w:eastAsia="Times New Roman" w:hAnsi="Times New Roman" w:cs="Times New Roman"/>
          <w:i/>
          <w:iCs/>
          <w:sz w:val="24"/>
          <w:szCs w:val="24"/>
          <w:vertAlign w:val="superscript"/>
        </w:rPr>
        <w:t>2</w:t>
      </w:r>
      <w:r>
        <w:rPr>
          <w:rFonts w:ascii="Times New Roman" w:eastAsia="Times New Roman" w:hAnsi="Times New Roman" w:cs="Times New Roman"/>
          <w:sz w:val="24"/>
          <w:szCs w:val="24"/>
        </w:rPr>
        <w:t>, we used t</w:t>
      </w:r>
      <w:r w:rsidRPr="00E6366E">
        <w:rPr>
          <w:rFonts w:ascii="Times New Roman" w:eastAsia="Times New Roman" w:hAnsi="Times New Roman" w:cs="Times New Roman"/>
          <w:sz w:val="24"/>
          <w:szCs w:val="24"/>
        </w:rPr>
        <w:t>he normalized root</w:t>
      </w:r>
      <w:r>
        <w:rPr>
          <w:rFonts w:ascii="Times New Roman" w:eastAsia="Times New Roman" w:hAnsi="Times New Roman" w:cs="Times New Roman"/>
          <w:sz w:val="24"/>
          <w:szCs w:val="24"/>
        </w:rPr>
        <w:t>-</w:t>
      </w:r>
      <w:r w:rsidRPr="00E6366E">
        <w:rPr>
          <w:rFonts w:ascii="Times New Roman" w:eastAsia="Times New Roman" w:hAnsi="Times New Roman" w:cs="Times New Roman"/>
          <w:sz w:val="24"/>
          <w:szCs w:val="24"/>
        </w:rPr>
        <w:t>mean</w:t>
      </w:r>
      <w:r>
        <w:rPr>
          <w:rFonts w:ascii="Times New Roman" w:eastAsia="Times New Roman" w:hAnsi="Times New Roman" w:cs="Times New Roman"/>
          <w:sz w:val="24"/>
          <w:szCs w:val="24"/>
        </w:rPr>
        <w:t>-</w:t>
      </w:r>
      <w:r w:rsidRPr="00E6366E">
        <w:rPr>
          <w:rFonts w:ascii="Times New Roman" w:eastAsia="Times New Roman" w:hAnsi="Times New Roman" w:cs="Times New Roman"/>
          <w:sz w:val="24"/>
          <w:szCs w:val="24"/>
        </w:rPr>
        <w:t>square error</w:t>
      </w:r>
      <w:r>
        <w:rPr>
          <w:rFonts w:ascii="Times New Roman" w:eastAsia="Times New Roman" w:hAnsi="Times New Roman" w:cs="Times New Roman"/>
          <w:sz w:val="24"/>
          <w:szCs w:val="24"/>
        </w:rPr>
        <w:t xml:space="preserve"> </w:t>
      </w:r>
      <w:r w:rsidRPr="00E6366E">
        <w:rPr>
          <w:rFonts w:ascii="Times New Roman" w:eastAsia="Times New Roman" w:hAnsi="Times New Roman" w:cs="Times New Roman"/>
          <w:sz w:val="24"/>
          <w:szCs w:val="24"/>
        </w:rPr>
        <w:t>(NRMSE)</w:t>
      </w:r>
      <w:r>
        <w:rPr>
          <w:rFonts w:ascii="Times New Roman" w:eastAsia="Times New Roman" w:hAnsi="Times New Roman" w:cs="Times New Roman"/>
          <w:sz w:val="24"/>
          <w:szCs w:val="24"/>
        </w:rPr>
        <w:t xml:space="preserve"> values computed by the MATLAB “compare” function to assess the model’s fitness by indicating how well the predictions or simulations match the observed data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{"citationItems":[{"id":"ITEM-1","itemData":{"author":[{"dropping-particle":"","family":"MathWorks","given":"","non-dropping-particle":"","parse-names":false,"suffix":""}],"id":"ITEM-1","issued":{"date-parts":[["0"]]},"number":"2022b","title":"Compare identified model output with measured output","type":"article"},"uris":["http://www.mendeley.com/documents/?uuid=01ef7f2e-ea14-4929-b918-6239b7d814bb"]}],"mendeley":{"formattedCitation":"(MathWorks, n.d.)","manualFormatting":"(MathWorks, 2022b)","plainTextFormattedCitation":"(MathWorks, n.d.)","previouslyFormattedCitation":"(MathWorks, n.d.)"},"properties":{"noteIndex":0},"schema":"https://github.com/citation-style-language/schema/raw/master/csl-citation.json"}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2E705C">
        <w:rPr>
          <w:rFonts w:ascii="Times New Roman" w:eastAsia="Times New Roman" w:hAnsi="Times New Roman" w:cs="Times New Roman"/>
          <w:noProof/>
          <w:sz w:val="24"/>
          <w:szCs w:val="24"/>
        </w:rPr>
        <w:t xml:space="preserve">(MathWorks, </w:t>
      </w:r>
      <w:r>
        <w:rPr>
          <w:rFonts w:ascii="Times New Roman" w:eastAsia="Times New Roman" w:hAnsi="Times New Roman" w:cs="Times New Roman"/>
          <w:noProof/>
          <w:sz w:val="24"/>
          <w:szCs w:val="24"/>
        </w:rPr>
        <w:t>2022b</w:t>
      </w:r>
      <w:r w:rsidRPr="002E705C">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NRMSE ranges from </w:t>
      </w:r>
      <w:r w:rsidRPr="00C87C19">
        <w:rPr>
          <w:rFonts w:ascii="Times New Roman" w:eastAsia="Times New Roman" w:hAnsi="Times New Roman" w:cs="Times New Roman"/>
          <w:sz w:val="24"/>
          <w:szCs w:val="24"/>
        </w:rPr>
        <w:t>−</w:t>
      </w:r>
      <w:r w:rsidRPr="00C87C19">
        <w:rPr>
          <w:rFonts w:ascii="Times New Roman" w:eastAsia="Times New Roman" w:hAnsi="Times New Roman" w:cs="Times New Roman" w:hint="eastAsia"/>
          <w:sz w:val="24"/>
          <w:szCs w:val="24"/>
        </w:rPr>
        <w:t>∞</w:t>
      </w:r>
      <w:r>
        <w:rPr>
          <w:rFonts w:ascii="Times New Roman" w:eastAsia="Times New Roman" w:hAnsi="Times New Roman" w:cs="Times New Roman"/>
          <w:sz w:val="24"/>
          <w:szCs w:val="24"/>
        </w:rPr>
        <w:t xml:space="preserve"> to 100%, where </w:t>
      </w:r>
      <w:r w:rsidRPr="001106CC">
        <w:rPr>
          <w:rFonts w:ascii="Times New Roman" w:eastAsia="Times New Roman" w:hAnsi="Times New Roman" w:cs="Times New Roman"/>
          <w:sz w:val="24"/>
          <w:szCs w:val="24"/>
        </w:rPr>
        <w:t>100% indicates</w:t>
      </w:r>
      <w:r>
        <w:rPr>
          <w:rFonts w:ascii="Times New Roman" w:eastAsia="Times New Roman" w:hAnsi="Times New Roman" w:cs="Times New Roman"/>
          <w:sz w:val="24"/>
          <w:szCs w:val="24"/>
        </w:rPr>
        <w:t xml:space="preserve"> a</w:t>
      </w:r>
      <w:r w:rsidRPr="001106CC">
        <w:rPr>
          <w:rFonts w:ascii="Times New Roman" w:eastAsia="Times New Roman" w:hAnsi="Times New Roman" w:cs="Times New Roman"/>
          <w:sz w:val="24"/>
          <w:szCs w:val="24"/>
        </w:rPr>
        <w:t xml:space="preserve"> perfect fit,</w:t>
      </w:r>
      <w:r>
        <w:rPr>
          <w:rFonts w:ascii="Times New Roman" w:eastAsia="Times New Roman" w:hAnsi="Times New Roman" w:cs="Times New Roman"/>
          <w:sz w:val="24"/>
          <w:szCs w:val="24"/>
        </w:rPr>
        <w:t xml:space="preserve"> </w:t>
      </w:r>
      <w:r w:rsidRPr="00C87C19">
        <w:rPr>
          <w:rFonts w:ascii="Times New Roman" w:eastAsia="Times New Roman" w:hAnsi="Times New Roman" w:cs="Times New Roman"/>
          <w:sz w:val="24"/>
          <w:szCs w:val="24"/>
        </w:rPr>
        <w:t>−</w:t>
      </w:r>
      <w:r w:rsidRPr="00C87C19">
        <w:rPr>
          <w:rFonts w:ascii="Times New Roman" w:eastAsia="Times New Roman" w:hAnsi="Times New Roman" w:cs="Times New Roman" w:hint="eastAsia"/>
          <w:sz w:val="24"/>
          <w:szCs w:val="24"/>
        </w:rPr>
        <w:t>∞</w:t>
      </w:r>
      <w:r>
        <w:rPr>
          <w:rFonts w:ascii="Times New Roman" w:eastAsia="Times New Roman" w:hAnsi="Times New Roman" w:cs="Times New Roman"/>
          <w:sz w:val="24"/>
          <w:szCs w:val="24"/>
        </w:rPr>
        <w:t xml:space="preserve"> </w:t>
      </w:r>
      <w:r w:rsidRPr="00C87C19">
        <w:rPr>
          <w:rFonts w:ascii="Times New Roman" w:eastAsia="Times New Roman" w:hAnsi="Times New Roman" w:cs="Times New Roman"/>
          <w:sz w:val="24"/>
          <w:szCs w:val="24"/>
        </w:rPr>
        <w:t xml:space="preserve">indicates </w:t>
      </w:r>
      <w:r>
        <w:rPr>
          <w:rFonts w:ascii="Times New Roman" w:eastAsia="Times New Roman" w:hAnsi="Times New Roman" w:cs="Times New Roman"/>
          <w:sz w:val="24"/>
          <w:szCs w:val="24"/>
        </w:rPr>
        <w:t>a poor</w:t>
      </w:r>
      <w:r w:rsidRPr="00C87C19">
        <w:rPr>
          <w:rFonts w:ascii="Times New Roman" w:eastAsia="Times New Roman" w:hAnsi="Times New Roman" w:cs="Times New Roman"/>
          <w:sz w:val="24"/>
          <w:szCs w:val="24"/>
        </w:rPr>
        <w:t xml:space="preserve"> fit</w:t>
      </w:r>
      <w:r>
        <w:rPr>
          <w:rFonts w:ascii="Times New Roman" w:eastAsia="Times New Roman" w:hAnsi="Times New Roman" w:cs="Times New Roman"/>
          <w:sz w:val="24"/>
          <w:szCs w:val="24"/>
        </w:rPr>
        <w:t xml:space="preserve"> and a fitness value of zero indicates that the identified model is no better than a straight line at matching the observed output. </w:t>
      </w:r>
    </w:p>
    <w:p w14:paraId="6D1B569A" w14:textId="77777777" w:rsidR="00103AF5" w:rsidRPr="00942504" w:rsidRDefault="00103AF5" w:rsidP="00103AF5">
      <w:pPr>
        <w:snapToGrid w:val="0"/>
        <w:spacing w:after="0" w:line="480" w:lineRule="auto"/>
        <w:rPr>
          <w:rFonts w:ascii="Times New Roman" w:eastAsia="Times New Roman" w:hAnsi="Times New Roman" w:cs="Times New Roman"/>
          <w:sz w:val="24"/>
          <w:szCs w:val="24"/>
          <w:lang w:val="en-MY"/>
        </w:rPr>
      </w:pPr>
    </w:p>
    <w:p w14:paraId="4CD63C7E" w14:textId="77777777" w:rsidR="00103AF5" w:rsidRPr="00005B39" w:rsidRDefault="00103AF5" w:rsidP="00103AF5">
      <w:pPr>
        <w:pStyle w:val="ListParagraph"/>
        <w:numPr>
          <w:ilvl w:val="0"/>
          <w:numId w:val="5"/>
        </w:numPr>
        <w:snapToGrid w:val="0"/>
        <w:spacing w:after="0" w:line="480" w:lineRule="auto"/>
        <w:ind w:left="284" w:hanging="284"/>
        <w:rPr>
          <w:rFonts w:ascii="Times New Roman" w:hAnsi="Times New Roman" w:cs="Times New Roman"/>
          <w:b/>
          <w:sz w:val="24"/>
          <w:szCs w:val="24"/>
        </w:rPr>
      </w:pPr>
      <w:r w:rsidRPr="00005B39">
        <w:rPr>
          <w:rFonts w:ascii="Times New Roman" w:hAnsi="Times New Roman" w:cs="Times New Roman"/>
          <w:b/>
          <w:bCs/>
          <w:sz w:val="24"/>
          <w:szCs w:val="24"/>
        </w:rPr>
        <w:t xml:space="preserve">RESULTS </w:t>
      </w:r>
    </w:p>
    <w:p w14:paraId="51DB9300" w14:textId="77777777" w:rsidR="00103AF5" w:rsidRPr="009A4E12" w:rsidRDefault="00103AF5" w:rsidP="00103AF5">
      <w:pPr>
        <w:snapToGrid w:val="0"/>
        <w:spacing w:after="0" w:line="480" w:lineRule="auto"/>
        <w:rPr>
          <w:rFonts w:ascii="Times New Roman" w:hAnsi="Times New Roman" w:cs="Times New Roman"/>
          <w:b/>
          <w:sz w:val="24"/>
          <w:szCs w:val="24"/>
        </w:rPr>
      </w:pPr>
      <w:r w:rsidRPr="00005B39">
        <w:rPr>
          <w:rFonts w:ascii="Times New Roman" w:hAnsi="Times New Roman" w:cs="Times New Roman"/>
          <w:b/>
          <w:sz w:val="24"/>
          <w:szCs w:val="24"/>
        </w:rPr>
        <w:t>3.1 GPP, meteorological and air pollution anomalies during the 2020 spring lockdown</w:t>
      </w:r>
    </w:p>
    <w:p w14:paraId="6FA3500C" w14:textId="77777777" w:rsidR="00103AF5" w:rsidRDefault="00103AF5" w:rsidP="00103AF5">
      <w:pPr>
        <w:snapToGrid w:val="0"/>
        <w:spacing w:after="0" w:line="480" w:lineRule="auto"/>
        <w:ind w:firstLine="720"/>
        <w:rPr>
          <w:rFonts w:ascii="Times New Roman" w:hAnsi="Times New Roman" w:cs="Times New Roman"/>
          <w:sz w:val="24"/>
          <w:szCs w:val="24"/>
        </w:rPr>
      </w:pPr>
      <w:r w:rsidRPr="004F3E51">
        <w:rPr>
          <w:rFonts w:ascii="Times New Roman" w:hAnsi="Times New Roman" w:cs="Times New Roman"/>
          <w:sz w:val="24"/>
          <w:szCs w:val="24"/>
        </w:rPr>
        <w:t>The spring GPP anomaly for 2020</w:t>
      </w:r>
      <w:r>
        <w:rPr>
          <w:rFonts w:ascii="Times New Roman" w:hAnsi="Times New Roman" w:cs="Times New Roman"/>
          <w:sz w:val="24"/>
          <w:szCs w:val="24"/>
        </w:rPr>
        <w:t xml:space="preserve">, </w:t>
      </w:r>
      <w:r w:rsidRPr="00942504">
        <w:rPr>
          <w:rFonts w:ascii="Times New Roman" w:hAnsi="Times New Roman" w:cs="Times New Roman"/>
          <w:sz w:val="24"/>
          <w:szCs w:val="24"/>
        </w:rPr>
        <w:t>∆</w:t>
      </w:r>
      <w:r w:rsidRPr="008C7547">
        <w:rPr>
          <w:rFonts w:ascii="Times New Roman" w:hAnsi="Times New Roman" w:cs="Times New Roman"/>
          <w:sz w:val="24"/>
          <w:szCs w:val="24"/>
        </w:rPr>
        <w:t>GPP</w:t>
      </w:r>
      <w:r>
        <w:rPr>
          <w:rFonts w:ascii="Times New Roman" w:hAnsi="Times New Roman" w:cs="Times New Roman"/>
          <w:sz w:val="24"/>
          <w:szCs w:val="24"/>
        </w:rPr>
        <w:t>,</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varied widely among the 44 sites, </w:t>
      </w:r>
      <w:r w:rsidRPr="004F3E51">
        <w:rPr>
          <w:rFonts w:ascii="Times New Roman" w:hAnsi="Times New Roman" w:cs="Times New Roman"/>
          <w:sz w:val="24"/>
          <w:szCs w:val="24"/>
        </w:rPr>
        <w:t>rang</w:t>
      </w:r>
      <w:r>
        <w:rPr>
          <w:rFonts w:ascii="Times New Roman" w:hAnsi="Times New Roman" w:cs="Times New Roman"/>
          <w:sz w:val="24"/>
          <w:szCs w:val="24"/>
        </w:rPr>
        <w:t>ing</w:t>
      </w:r>
      <w:r w:rsidRPr="004F3E51">
        <w:rPr>
          <w:rFonts w:ascii="Times New Roman" w:hAnsi="Times New Roman" w:cs="Times New Roman"/>
          <w:sz w:val="24"/>
          <w:szCs w:val="24"/>
        </w:rPr>
        <w:t xml:space="preserve"> </w:t>
      </w:r>
      <w:r>
        <w:rPr>
          <w:rFonts w:ascii="Times New Roman" w:hAnsi="Times New Roman" w:cs="Times New Roman"/>
          <w:sz w:val="24"/>
          <w:szCs w:val="24"/>
        </w:rPr>
        <w:t>from</w:t>
      </w:r>
      <w:r w:rsidRPr="004F3E51">
        <w:rPr>
          <w:rFonts w:ascii="Times New Roman" w:hAnsi="Times New Roman" w:cs="Times New Roman"/>
          <w:sz w:val="24"/>
          <w:szCs w:val="24"/>
        </w:rPr>
        <w:t xml:space="preserve"> −202 </w:t>
      </w:r>
      <w:r>
        <w:rPr>
          <w:rFonts w:ascii="Times New Roman" w:hAnsi="Times New Roman" w:cs="Times New Roman"/>
          <w:sz w:val="24"/>
          <w:szCs w:val="24"/>
        </w:rPr>
        <w:t>to</w:t>
      </w:r>
      <w:r w:rsidRPr="004F3E51">
        <w:rPr>
          <w:rFonts w:ascii="Times New Roman" w:hAnsi="Times New Roman" w:cs="Times New Roman"/>
          <w:sz w:val="24"/>
          <w:szCs w:val="24"/>
        </w:rPr>
        <w:t xml:space="preserve"> +390 g C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xml:space="preserve"> (−31% to +47%) </w:t>
      </w:r>
      <w:r>
        <w:rPr>
          <w:rFonts w:ascii="Times New Roman" w:hAnsi="Times New Roman" w:cs="Times New Roman"/>
          <w:sz w:val="24"/>
          <w:szCs w:val="24"/>
        </w:rPr>
        <w:t>(Fig. S1).</w:t>
      </w:r>
      <w:r w:rsidRPr="004F3E51">
        <w:rPr>
          <w:rFonts w:ascii="Times New Roman" w:hAnsi="Times New Roman" w:cs="Times New Roman"/>
          <w:sz w:val="24"/>
          <w:szCs w:val="24"/>
        </w:rPr>
        <w:t xml:space="preserve"> </w:t>
      </w:r>
      <w:r>
        <w:rPr>
          <w:rFonts w:ascii="Times New Roman" w:hAnsi="Times New Roman" w:cs="Times New Roman"/>
          <w:sz w:val="24"/>
          <w:szCs w:val="24"/>
        </w:rPr>
        <w:t>Overall, we observed an increase in both the mean GPP and its standard deviation (</w:t>
      </w:r>
      <w:r w:rsidRPr="004F3E51">
        <w:rPr>
          <w:rFonts w:ascii="Times New Roman" w:hAnsi="Times New Roman" w:cs="Times New Roman"/>
          <w:sz w:val="24"/>
          <w:szCs w:val="24"/>
        </w:rPr>
        <w:t xml:space="preserve">+5.3% </w:t>
      </w:r>
      <w:r>
        <w:rPr>
          <w:rFonts w:ascii="Times New Roman" w:hAnsi="Times New Roman" w:cs="Times New Roman"/>
          <w:sz w:val="24"/>
          <w:szCs w:val="24"/>
        </w:rPr>
        <w:t xml:space="preserve">or </w:t>
      </w:r>
      <w:r w:rsidRPr="004F3E51">
        <w:rPr>
          <w:rFonts w:ascii="Times New Roman" w:hAnsi="Times New Roman" w:cs="Times New Roman"/>
          <w:sz w:val="24"/>
          <w:szCs w:val="24"/>
        </w:rPr>
        <w:t>+39 g C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xml:space="preserve">, </w:t>
      </w:r>
      <w:r w:rsidRPr="004F3E51">
        <w:rPr>
          <w:rFonts w:ascii="Times New Roman" w:hAnsi="Times New Roman" w:cs="Times New Roman"/>
          <w:i/>
          <w:sz w:val="24"/>
          <w:szCs w:val="24"/>
        </w:rPr>
        <w:t>p</w:t>
      </w:r>
      <w:r w:rsidRPr="004F3E51">
        <w:rPr>
          <w:rFonts w:ascii="Times New Roman" w:hAnsi="Times New Roman" w:cs="Times New Roman"/>
          <w:sz w:val="24"/>
          <w:szCs w:val="24"/>
        </w:rPr>
        <w:t xml:space="preserve"> = .04</w:t>
      </w:r>
      <w:r>
        <w:rPr>
          <w:rFonts w:ascii="Times New Roman" w:hAnsi="Times New Roman" w:cs="Times New Roman"/>
          <w:sz w:val="24"/>
          <w:szCs w:val="24"/>
        </w:rPr>
        <w:t xml:space="preserve">, </w:t>
      </w:r>
      <w:r w:rsidRPr="004F3E51">
        <w:rPr>
          <w:rFonts w:ascii="Times New Roman" w:hAnsi="Times New Roman" w:cs="Times New Roman"/>
          <w:sz w:val="24"/>
          <w:szCs w:val="24"/>
        </w:rPr>
        <w:t>and +18%</w:t>
      </w:r>
      <w:r>
        <w:rPr>
          <w:rFonts w:ascii="Times New Roman" w:hAnsi="Times New Roman" w:cs="Times New Roman"/>
          <w:sz w:val="24"/>
          <w:szCs w:val="24"/>
        </w:rPr>
        <w:t>, respectively)</w:t>
      </w:r>
      <w:r w:rsidRPr="004F3E51">
        <w:rPr>
          <w:rFonts w:ascii="Times New Roman" w:hAnsi="Times New Roman" w:cs="Times New Roman"/>
          <w:sz w:val="24"/>
          <w:szCs w:val="24"/>
        </w:rPr>
        <w:t xml:space="preserve"> (</w:t>
      </w:r>
      <w:r>
        <w:rPr>
          <w:rFonts w:ascii="Times New Roman" w:hAnsi="Times New Roman" w:cs="Times New Roman"/>
          <w:sz w:val="24"/>
          <w:szCs w:val="24"/>
        </w:rPr>
        <w:t>Fig. 2</w:t>
      </w:r>
      <w:r w:rsidRPr="004F3E51">
        <w:rPr>
          <w:rFonts w:ascii="Times New Roman" w:hAnsi="Times New Roman" w:cs="Times New Roman"/>
          <w:sz w:val="24"/>
          <w:szCs w:val="24"/>
        </w:rPr>
        <w:t xml:space="preserve">). </w:t>
      </w:r>
      <w:r>
        <w:rPr>
          <w:rFonts w:ascii="Times New Roman" w:hAnsi="Times New Roman" w:cs="Times New Roman"/>
          <w:sz w:val="24"/>
          <w:szCs w:val="24"/>
        </w:rPr>
        <w:t>At</w:t>
      </w:r>
      <w:r w:rsidRPr="004F3E51">
        <w:rPr>
          <w:rFonts w:ascii="Times New Roman" w:hAnsi="Times New Roman" w:cs="Times New Roman"/>
          <w:sz w:val="24"/>
          <w:szCs w:val="24"/>
        </w:rPr>
        <w:t xml:space="preserve"> 34 out of 44 sites, we found that the 2020 and reference GPP </w:t>
      </w:r>
      <w:r>
        <w:rPr>
          <w:rFonts w:ascii="Times New Roman" w:hAnsi="Times New Roman" w:cs="Times New Roman"/>
          <w:sz w:val="24"/>
          <w:szCs w:val="24"/>
        </w:rPr>
        <w:t xml:space="preserve">differed significantly </w:t>
      </w:r>
      <w:r w:rsidRPr="004F3E51">
        <w:rPr>
          <w:rFonts w:ascii="Times New Roman" w:hAnsi="Times New Roman" w:cs="Times New Roman"/>
          <w:sz w:val="24"/>
          <w:szCs w:val="24"/>
        </w:rPr>
        <w:t xml:space="preserve">at the 5% level. </w:t>
      </w:r>
      <w:r>
        <w:rPr>
          <w:rFonts w:ascii="Times New Roman" w:hAnsi="Times New Roman" w:cs="Times New Roman"/>
          <w:sz w:val="24"/>
          <w:szCs w:val="24"/>
        </w:rPr>
        <w:t xml:space="preserve">Of </w:t>
      </w:r>
      <w:r w:rsidRPr="004F3E51">
        <w:rPr>
          <w:rFonts w:ascii="Times New Roman" w:hAnsi="Times New Roman" w:cs="Times New Roman"/>
          <w:sz w:val="24"/>
          <w:szCs w:val="24"/>
        </w:rPr>
        <w:t xml:space="preserve">these 34 sites, 22 sites </w:t>
      </w:r>
      <w:r>
        <w:rPr>
          <w:rFonts w:ascii="Times New Roman" w:hAnsi="Times New Roman" w:cs="Times New Roman"/>
          <w:sz w:val="24"/>
          <w:szCs w:val="24"/>
        </w:rPr>
        <w:t>showed</w:t>
      </w:r>
      <w:r w:rsidRPr="004F3E51">
        <w:rPr>
          <w:rFonts w:ascii="Times New Roman" w:hAnsi="Times New Roman" w:cs="Times New Roman"/>
          <w:sz w:val="24"/>
          <w:szCs w:val="24"/>
        </w:rPr>
        <w:t xml:space="preserve"> a positive anomaly </w:t>
      </w:r>
      <w:r>
        <w:rPr>
          <w:rFonts w:ascii="Times New Roman" w:hAnsi="Times New Roman" w:cs="Times New Roman"/>
          <w:sz w:val="24"/>
          <w:szCs w:val="24"/>
        </w:rPr>
        <w:t>ranging from</w:t>
      </w:r>
      <w:r w:rsidRPr="004F3E51">
        <w:rPr>
          <w:rFonts w:ascii="Times New Roman" w:hAnsi="Times New Roman" w:cs="Times New Roman"/>
          <w:sz w:val="24"/>
          <w:szCs w:val="24"/>
        </w:rPr>
        <w:t xml:space="preserve"> +5.2 to +47%, </w:t>
      </w:r>
      <w:r>
        <w:rPr>
          <w:rFonts w:ascii="Times New Roman" w:hAnsi="Times New Roman" w:cs="Times New Roman"/>
          <w:sz w:val="24"/>
          <w:szCs w:val="24"/>
        </w:rPr>
        <w:t>while</w:t>
      </w:r>
      <w:r w:rsidRPr="004F3E51">
        <w:rPr>
          <w:rFonts w:ascii="Times New Roman" w:hAnsi="Times New Roman" w:cs="Times New Roman"/>
          <w:sz w:val="24"/>
          <w:szCs w:val="24"/>
        </w:rPr>
        <w:t xml:space="preserve"> 12 sites </w:t>
      </w:r>
      <w:r>
        <w:rPr>
          <w:rFonts w:ascii="Times New Roman" w:hAnsi="Times New Roman" w:cs="Times New Roman"/>
          <w:sz w:val="24"/>
          <w:szCs w:val="24"/>
        </w:rPr>
        <w:t xml:space="preserve">showed </w:t>
      </w:r>
      <w:r w:rsidRPr="004F3E51">
        <w:rPr>
          <w:rFonts w:ascii="Times New Roman" w:hAnsi="Times New Roman" w:cs="Times New Roman"/>
          <w:sz w:val="24"/>
          <w:szCs w:val="24"/>
        </w:rPr>
        <w:t>a negative anomaly of −7.1 to −47% (</w:t>
      </w:r>
      <w:r>
        <w:rPr>
          <w:rFonts w:ascii="Times New Roman" w:hAnsi="Times New Roman" w:cs="Times New Roman"/>
          <w:sz w:val="24"/>
          <w:szCs w:val="24"/>
        </w:rPr>
        <w:t>Fig. S1, Table S1)</w:t>
      </w:r>
      <w:r w:rsidRPr="004F3E51">
        <w:rPr>
          <w:rFonts w:ascii="Times New Roman" w:hAnsi="Times New Roman" w:cs="Times New Roman"/>
          <w:sz w:val="24"/>
          <w:szCs w:val="24"/>
        </w:rPr>
        <w:t xml:space="preserve">. </w:t>
      </w:r>
      <w:r w:rsidRPr="0019730D">
        <w:rPr>
          <w:rFonts w:ascii="Times New Roman" w:hAnsi="Times New Roman" w:cs="Times New Roman"/>
          <w:sz w:val="24"/>
          <w:szCs w:val="24"/>
        </w:rPr>
        <w:t xml:space="preserve">We did not observe marked differences in GPP, meteorological conditions, or pollutant anomalies between peri-urban sites and other sites, and thus we did not analyse them separately </w:t>
      </w:r>
      <w:r>
        <w:rPr>
          <w:rFonts w:ascii="Times New Roman" w:hAnsi="Times New Roman" w:cs="Times New Roman"/>
          <w:sz w:val="24"/>
          <w:szCs w:val="24"/>
        </w:rPr>
        <w:t>(Tables S1, S2 and S3).</w:t>
      </w:r>
    </w:p>
    <w:p w14:paraId="6742CF86" w14:textId="77777777" w:rsidR="00103AF5" w:rsidRDefault="00103AF5" w:rsidP="00103AF5">
      <w:pPr>
        <w:snapToGrid w:val="0"/>
        <w:spacing w:after="0" w:line="480" w:lineRule="auto"/>
        <w:rPr>
          <w:rFonts w:ascii="Times New Roman" w:hAnsi="Times New Roman" w:cs="Times New Roman"/>
          <w:sz w:val="24"/>
          <w:szCs w:val="24"/>
        </w:rPr>
      </w:pPr>
      <w:r w:rsidRPr="004F3E51">
        <w:rPr>
          <w:noProof/>
          <w:lang w:val="fr-FR" w:eastAsia="fr-FR"/>
        </w:rPr>
        <w:lastRenderedPageBreak/>
        <w:drawing>
          <wp:inline distT="0" distB="0" distL="0" distR="0" wp14:anchorId="034C3AAE" wp14:editId="1E73DDEF">
            <wp:extent cx="5760720" cy="2939415"/>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histogram&#10;&#10;Description automatically generated"/>
                    <pic:cNvPicPr/>
                  </pic:nvPicPr>
                  <pic:blipFill>
                    <a:blip r:embed="rId8"/>
                    <a:stretch>
                      <a:fillRect/>
                    </a:stretch>
                  </pic:blipFill>
                  <pic:spPr>
                    <a:xfrm>
                      <a:off x="0" y="0"/>
                      <a:ext cx="5760720" cy="2939415"/>
                    </a:xfrm>
                    <a:prstGeom prst="rect">
                      <a:avLst/>
                    </a:prstGeom>
                  </pic:spPr>
                </pic:pic>
              </a:graphicData>
            </a:graphic>
          </wp:inline>
        </w:drawing>
      </w:r>
      <w:r w:rsidRPr="004F3E51">
        <w:rPr>
          <w:rFonts w:ascii="Times New Roman" w:hAnsi="Times New Roman" w:cs="Times New Roman"/>
          <w:b/>
          <w:sz w:val="24"/>
          <w:szCs w:val="24"/>
        </w:rPr>
        <w:t xml:space="preserve">Fig. </w:t>
      </w:r>
      <w:r>
        <w:rPr>
          <w:rFonts w:ascii="Times New Roman" w:hAnsi="Times New Roman" w:cs="Times New Roman"/>
          <w:b/>
          <w:sz w:val="24"/>
          <w:szCs w:val="24"/>
        </w:rPr>
        <w:t>2</w:t>
      </w:r>
      <w:r w:rsidRPr="004F3E51">
        <w:rPr>
          <w:rFonts w:ascii="Times New Roman" w:hAnsi="Times New Roman" w:cs="Times New Roman"/>
          <w:b/>
          <w:sz w:val="24"/>
          <w:szCs w:val="24"/>
        </w:rPr>
        <w:t>.</w:t>
      </w:r>
      <w:r w:rsidRPr="004F3E51">
        <w:rPr>
          <w:rFonts w:ascii="Times New Roman" w:hAnsi="Times New Roman" w:cs="Times New Roman"/>
          <w:sz w:val="24"/>
          <w:szCs w:val="24"/>
        </w:rPr>
        <w:t xml:space="preserve"> </w:t>
      </w:r>
      <w:r w:rsidRPr="004F3E51">
        <w:rPr>
          <w:rFonts w:ascii="Times New Roman" w:hAnsi="Times New Roman" w:cs="Times New Roman"/>
          <w:bCs/>
          <w:noProof/>
          <w:sz w:val="24"/>
          <w:szCs w:val="24"/>
        </w:rPr>
        <w:t xml:space="preserve">Histogram of </w:t>
      </w:r>
      <w:r w:rsidRPr="004F3E51">
        <w:rPr>
          <w:rFonts w:ascii="Times New Roman" w:hAnsi="Times New Roman" w:cs="Times New Roman"/>
          <w:sz w:val="24"/>
          <w:szCs w:val="24"/>
        </w:rPr>
        <w:t xml:space="preserve">probability density function (pdf, y-axis) </w:t>
      </w:r>
      <w:r>
        <w:rPr>
          <w:rFonts w:ascii="Times New Roman" w:hAnsi="Times New Roman" w:cs="Times New Roman"/>
          <w:sz w:val="24"/>
          <w:szCs w:val="24"/>
        </w:rPr>
        <w:t>for</w:t>
      </w:r>
      <w:r w:rsidRPr="004F3E51">
        <w:rPr>
          <w:rFonts w:ascii="Times New Roman" w:hAnsi="Times New Roman" w:cs="Times New Roman"/>
          <w:sz w:val="24"/>
          <w:szCs w:val="24"/>
        </w:rPr>
        <w:t xml:space="preserve"> gross primary producti</w:t>
      </w:r>
      <w:r>
        <w:rPr>
          <w:rFonts w:ascii="Times New Roman" w:hAnsi="Times New Roman" w:cs="Times New Roman"/>
          <w:sz w:val="24"/>
          <w:szCs w:val="24"/>
        </w:rPr>
        <w:t>on</w:t>
      </w:r>
      <w:r w:rsidRPr="004F3E51">
        <w:rPr>
          <w:rFonts w:ascii="Times New Roman" w:hAnsi="Times New Roman" w:cs="Times New Roman"/>
          <w:sz w:val="24"/>
          <w:szCs w:val="24"/>
        </w:rPr>
        <w:t xml:space="preserve"> (GPP, x-axis) across study sites in Europe during the springs of </w:t>
      </w:r>
      <w:r w:rsidRPr="00DD721B">
        <w:rPr>
          <w:rFonts w:ascii="Times New Roman" w:hAnsi="Times New Roman" w:cs="Times New Roman"/>
          <w:bCs/>
          <w:sz w:val="24"/>
          <w:szCs w:val="24"/>
        </w:rPr>
        <w:t>(a)</w:t>
      </w:r>
      <w:r w:rsidRPr="00DA7D64">
        <w:rPr>
          <w:rFonts w:ascii="Times New Roman" w:hAnsi="Times New Roman" w:cs="Times New Roman"/>
          <w:bCs/>
          <w:sz w:val="24"/>
          <w:szCs w:val="24"/>
        </w:rPr>
        <w:t xml:space="preserve"> reference years and </w:t>
      </w:r>
      <w:r w:rsidRPr="00DD721B">
        <w:rPr>
          <w:rFonts w:ascii="Times New Roman" w:hAnsi="Times New Roman" w:cs="Times New Roman"/>
          <w:bCs/>
          <w:sz w:val="24"/>
          <w:szCs w:val="24"/>
        </w:rPr>
        <w:t xml:space="preserve">(b) </w:t>
      </w:r>
      <w:r w:rsidRPr="004F3E51">
        <w:rPr>
          <w:rFonts w:ascii="Times New Roman" w:hAnsi="Times New Roman" w:cs="Times New Roman"/>
          <w:sz w:val="24"/>
          <w:szCs w:val="24"/>
        </w:rPr>
        <w:t>2020.</w:t>
      </w:r>
    </w:p>
    <w:p w14:paraId="09202891" w14:textId="77777777" w:rsidR="00103AF5" w:rsidRDefault="00103AF5" w:rsidP="00103AF5">
      <w:pPr>
        <w:snapToGrid w:val="0"/>
        <w:spacing w:after="0"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Figure 3 illustrates t</w:t>
      </w:r>
      <w:r w:rsidRPr="004F3E51">
        <w:rPr>
          <w:rFonts w:ascii="Times New Roman" w:eastAsia="Times New Roman" w:hAnsi="Times New Roman" w:cs="Times New Roman"/>
          <w:sz w:val="24"/>
          <w:szCs w:val="24"/>
        </w:rPr>
        <w:t xml:space="preserve">he difference in the frequency distribution of GPP drivers between </w:t>
      </w:r>
      <w:r>
        <w:rPr>
          <w:rFonts w:ascii="Times New Roman" w:eastAsia="Times New Roman" w:hAnsi="Times New Roman" w:cs="Times New Roman"/>
          <w:sz w:val="24"/>
          <w:szCs w:val="24"/>
        </w:rPr>
        <w:t xml:space="preserve">the </w:t>
      </w:r>
      <w:r w:rsidRPr="004F3E51">
        <w:rPr>
          <w:rFonts w:ascii="Times New Roman" w:eastAsia="Times New Roman" w:hAnsi="Times New Roman" w:cs="Times New Roman"/>
          <w:sz w:val="24"/>
          <w:szCs w:val="24"/>
        </w:rPr>
        <w:t xml:space="preserve">spring 2020 and previous years </w:t>
      </w:r>
      <w:r>
        <w:rPr>
          <w:rFonts w:ascii="Times New Roman" w:eastAsia="Times New Roman" w:hAnsi="Times New Roman" w:cs="Times New Roman"/>
          <w:sz w:val="24"/>
          <w:szCs w:val="24"/>
        </w:rPr>
        <w:t xml:space="preserve">across </w:t>
      </w:r>
      <w:r w:rsidRPr="004F3E51">
        <w:rPr>
          <w:rFonts w:ascii="Times New Roman" w:eastAsia="Times New Roman" w:hAnsi="Times New Roman" w:cs="Times New Roman"/>
          <w:sz w:val="24"/>
          <w:szCs w:val="24"/>
        </w:rPr>
        <w:t xml:space="preserve">the 44 sites. </w:t>
      </w:r>
      <w:r>
        <w:rPr>
          <w:rFonts w:ascii="Times New Roman" w:eastAsia="Times New Roman" w:hAnsi="Times New Roman" w:cs="Times New Roman"/>
          <w:sz w:val="24"/>
          <w:szCs w:val="24"/>
        </w:rPr>
        <w:t>During spring 2020, t</w:t>
      </w:r>
      <w:r w:rsidRPr="004F3E51">
        <w:rPr>
          <w:rFonts w:ascii="Times New Roman" w:eastAsia="Times New Roman" w:hAnsi="Times New Roman" w:cs="Times New Roman"/>
          <w:sz w:val="24"/>
          <w:szCs w:val="24"/>
        </w:rPr>
        <w:t xml:space="preserve">he GPP distribution shifted towards </w:t>
      </w:r>
      <w:r>
        <w:rPr>
          <w:rFonts w:ascii="Times New Roman" w:eastAsia="Times New Roman" w:hAnsi="Times New Roman" w:cs="Times New Roman"/>
          <w:sz w:val="24"/>
          <w:szCs w:val="24"/>
        </w:rPr>
        <w:t xml:space="preserve">higher values, coinciding with </w:t>
      </w:r>
      <w:r w:rsidRPr="004F3E51">
        <w:rPr>
          <w:rFonts w:ascii="Times New Roman" w:eastAsia="Times New Roman" w:hAnsi="Times New Roman" w:cs="Times New Roman"/>
          <w:sz w:val="24"/>
          <w:szCs w:val="24"/>
        </w:rPr>
        <w:t>clearer and drier</w:t>
      </w:r>
      <w:r>
        <w:rPr>
          <w:rFonts w:ascii="Times New Roman" w:eastAsia="Times New Roman" w:hAnsi="Times New Roman" w:cs="Times New Roman"/>
          <w:sz w:val="24"/>
          <w:szCs w:val="24"/>
        </w:rPr>
        <w:t xml:space="preserve"> atmospheric conditions</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Specifically, there were </w:t>
      </w:r>
      <w:r w:rsidRPr="004F3E51">
        <w:rPr>
          <w:rFonts w:ascii="Times New Roman" w:hAnsi="Times New Roman" w:cs="Times New Roman"/>
          <w:sz w:val="24"/>
          <w:szCs w:val="24"/>
        </w:rPr>
        <w:t>increase</w:t>
      </w:r>
      <w:r>
        <w:rPr>
          <w:rFonts w:ascii="Times New Roman" w:hAnsi="Times New Roman" w:cs="Times New Roman"/>
          <w:sz w:val="24"/>
          <w:szCs w:val="24"/>
        </w:rPr>
        <w:t xml:space="preserve">s in </w:t>
      </w:r>
      <w:r w:rsidRPr="004F3E51">
        <w:rPr>
          <w:rFonts w:ascii="Times New Roman" w:hAnsi="Times New Roman" w:cs="Times New Roman"/>
          <w:sz w:val="24"/>
          <w:szCs w:val="24"/>
        </w:rPr>
        <w:t>SW</w:t>
      </w:r>
      <w:r w:rsidRPr="004F3E51">
        <w:rPr>
          <w:rFonts w:ascii="Times New Roman" w:hAnsi="Times New Roman" w:cs="Times New Roman"/>
          <w:sz w:val="24"/>
          <w:szCs w:val="24"/>
          <w:vertAlign w:val="subscript"/>
        </w:rPr>
        <w:t>in</w:t>
      </w:r>
      <w:r w:rsidRPr="004F3E51">
        <w:rPr>
          <w:rFonts w:ascii="Times New Roman" w:hAnsi="Times New Roman" w:cs="Times New Roman"/>
          <w:sz w:val="24"/>
          <w:szCs w:val="24"/>
        </w:rPr>
        <w:t xml:space="preserve"> (</w:t>
      </w:r>
      <w:r w:rsidRPr="00E3751F">
        <w:rPr>
          <w:rFonts w:ascii="Times New Roman" w:hAnsi="Times New Roman" w:cs="Times New Roman"/>
          <w:sz w:val="24"/>
          <w:szCs w:val="24"/>
        </w:rPr>
        <w:t xml:space="preserve">mean ± 1SD: </w:t>
      </w:r>
      <w:r w:rsidRPr="004F3E51">
        <w:rPr>
          <w:rFonts w:ascii="Times New Roman" w:hAnsi="Times New Roman" w:cs="Times New Roman"/>
          <w:sz w:val="24"/>
          <w:szCs w:val="24"/>
        </w:rPr>
        <w:t>+11 ± 8.9 W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xml:space="preserve">, </w:t>
      </w:r>
      <w:r w:rsidRPr="00E3751F">
        <w:rPr>
          <w:rFonts w:ascii="Times New Roman" w:hAnsi="Times New Roman" w:cs="Times New Roman"/>
          <w:sz w:val="24"/>
          <w:szCs w:val="24"/>
        </w:rPr>
        <w:t>a relative change of</w:t>
      </w:r>
      <w:r w:rsidRPr="004F3E51">
        <w:rPr>
          <w:rFonts w:ascii="Times New Roman" w:hAnsi="Times New Roman" w:cs="Times New Roman"/>
          <w:sz w:val="24"/>
          <w:szCs w:val="24"/>
        </w:rPr>
        <w:t xml:space="preserve"> +5.6%, </w:t>
      </w:r>
      <w:r w:rsidRPr="004F3E51">
        <w:rPr>
          <w:rFonts w:ascii="Times New Roman" w:hAnsi="Times New Roman" w:cs="Times New Roman"/>
          <w:i/>
          <w:sz w:val="24"/>
          <w:szCs w:val="24"/>
        </w:rPr>
        <w:t>p</w:t>
      </w:r>
      <w:r w:rsidRPr="004F3E51">
        <w:rPr>
          <w:rFonts w:ascii="Times New Roman" w:hAnsi="Times New Roman" w:cs="Times New Roman"/>
          <w:sz w:val="24"/>
          <w:szCs w:val="24"/>
        </w:rPr>
        <w:t xml:space="preserve"> &lt; .001) and SW</w:t>
      </w:r>
      <w:r w:rsidRPr="004F3E51">
        <w:rPr>
          <w:rFonts w:ascii="Times New Roman" w:hAnsi="Times New Roman" w:cs="Times New Roman"/>
          <w:sz w:val="24"/>
          <w:szCs w:val="24"/>
          <w:vertAlign w:val="subscript"/>
        </w:rPr>
        <w:t>dir</w:t>
      </w:r>
      <w:r w:rsidRPr="004F3E51">
        <w:rPr>
          <w:rFonts w:ascii="Times New Roman" w:hAnsi="Times New Roman" w:cs="Times New Roman"/>
          <w:sz w:val="24"/>
          <w:szCs w:val="24"/>
        </w:rPr>
        <w:t xml:space="preserve"> (+13 ± 12 W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xml:space="preserve">, +12%, </w:t>
      </w:r>
      <w:r w:rsidRPr="004F3E51">
        <w:rPr>
          <w:rFonts w:ascii="Times New Roman" w:hAnsi="Times New Roman" w:cs="Times New Roman"/>
          <w:i/>
          <w:iCs/>
          <w:sz w:val="24"/>
          <w:szCs w:val="24"/>
        </w:rPr>
        <w:t>p</w:t>
      </w:r>
      <w:r w:rsidRPr="004F3E51">
        <w:rPr>
          <w:rFonts w:ascii="Times New Roman" w:hAnsi="Times New Roman" w:cs="Times New Roman"/>
          <w:sz w:val="24"/>
          <w:szCs w:val="24"/>
        </w:rPr>
        <w:t xml:space="preserve"> &lt; .001)</w:t>
      </w:r>
      <w:r>
        <w:rPr>
          <w:rFonts w:ascii="Times New Roman" w:hAnsi="Times New Roman" w:cs="Times New Roman"/>
          <w:sz w:val="24"/>
          <w:szCs w:val="24"/>
        </w:rPr>
        <w:t>, as well as</w:t>
      </w:r>
      <w:r w:rsidRPr="004F3E51">
        <w:rPr>
          <w:rFonts w:ascii="Times New Roman" w:hAnsi="Times New Roman" w:cs="Times New Roman"/>
          <w:sz w:val="24"/>
          <w:szCs w:val="24"/>
        </w:rPr>
        <w:t xml:space="preserve"> reduc</w:t>
      </w:r>
      <w:r>
        <w:rPr>
          <w:rFonts w:ascii="Times New Roman" w:hAnsi="Times New Roman" w:cs="Times New Roman"/>
          <w:sz w:val="24"/>
          <w:szCs w:val="24"/>
        </w:rPr>
        <w:t>tions in</w:t>
      </w:r>
      <w:r w:rsidRPr="004F3E51">
        <w:rPr>
          <w:rFonts w:ascii="Times New Roman" w:hAnsi="Times New Roman" w:cs="Times New Roman"/>
          <w:sz w:val="24"/>
          <w:szCs w:val="24"/>
        </w:rPr>
        <w:t xml:space="preserve"> SW</w:t>
      </w:r>
      <w:r w:rsidRPr="004F3E51">
        <w:rPr>
          <w:rFonts w:ascii="Times New Roman" w:hAnsi="Times New Roman" w:cs="Times New Roman"/>
          <w:sz w:val="24"/>
          <w:szCs w:val="24"/>
          <w:vertAlign w:val="subscript"/>
        </w:rPr>
        <w:t>dif</w:t>
      </w:r>
      <w:r w:rsidRPr="004F3E51">
        <w:rPr>
          <w:rFonts w:ascii="Times New Roman" w:hAnsi="Times New Roman" w:cs="Times New Roman"/>
          <w:sz w:val="24"/>
          <w:szCs w:val="24"/>
        </w:rPr>
        <w:t xml:space="preserve"> (−2.4 ± 4 W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xml:space="preserve">, −2.8%, </w:t>
      </w:r>
      <w:r w:rsidRPr="004F3E51">
        <w:rPr>
          <w:rFonts w:ascii="Times New Roman" w:hAnsi="Times New Roman" w:cs="Times New Roman"/>
          <w:i/>
          <w:sz w:val="24"/>
          <w:szCs w:val="24"/>
        </w:rPr>
        <w:t>p</w:t>
      </w:r>
      <w:r w:rsidRPr="004F3E51">
        <w:rPr>
          <w:rFonts w:ascii="Times New Roman" w:hAnsi="Times New Roman" w:cs="Times New Roman"/>
          <w:sz w:val="24"/>
          <w:szCs w:val="24"/>
        </w:rPr>
        <w:t xml:space="preserve"> &lt; .001) </w:t>
      </w:r>
      <w:r>
        <w:rPr>
          <w:rFonts w:ascii="Times New Roman" w:hAnsi="Times New Roman" w:cs="Times New Roman"/>
          <w:sz w:val="24"/>
          <w:szCs w:val="24"/>
        </w:rPr>
        <w:t xml:space="preserve">and </w:t>
      </w:r>
      <w:r w:rsidRPr="004F3E51">
        <w:rPr>
          <w:rFonts w:ascii="Times New Roman" w:hAnsi="Times New Roman" w:cs="Times New Roman"/>
          <w:sz w:val="24"/>
          <w:szCs w:val="24"/>
        </w:rPr>
        <w:t xml:space="preserve">diffuse radiation fraction (DF) (−0.04 ± 0.04, −6.4%, </w:t>
      </w:r>
      <w:r w:rsidRPr="004F3E51">
        <w:rPr>
          <w:rFonts w:ascii="Times New Roman" w:hAnsi="Times New Roman" w:cs="Times New Roman"/>
          <w:i/>
          <w:sz w:val="24"/>
          <w:szCs w:val="24"/>
        </w:rPr>
        <w:t>p</w:t>
      </w:r>
      <w:r w:rsidRPr="004F3E51">
        <w:rPr>
          <w:rFonts w:ascii="Times New Roman" w:hAnsi="Times New Roman" w:cs="Times New Roman"/>
          <w:sz w:val="24"/>
          <w:szCs w:val="24"/>
        </w:rPr>
        <w:t xml:space="preserve"> &lt; .001). </w:t>
      </w:r>
      <w:r w:rsidRPr="00B525A6">
        <w:rPr>
          <w:rFonts w:ascii="Times New Roman" w:hAnsi="Times New Roman" w:cs="Times New Roman"/>
          <w:sz w:val="24"/>
          <w:szCs w:val="24"/>
        </w:rPr>
        <w:t>The ambient concentrations of several air pollutants declined significantly in spring 2020</w:t>
      </w:r>
      <w:r>
        <w:rPr>
          <w:rFonts w:ascii="Times New Roman" w:hAnsi="Times New Roman" w:cs="Times New Roman"/>
          <w:sz w:val="24"/>
          <w:szCs w:val="24"/>
        </w:rPr>
        <w:t xml:space="preserve"> (</w:t>
      </w:r>
      <w:r w:rsidRPr="00FA7919">
        <w:rPr>
          <w:rFonts w:ascii="Times New Roman" w:hAnsi="Times New Roman" w:cs="Times New Roman"/>
          <w:i/>
          <w:sz w:val="24"/>
          <w:szCs w:val="24"/>
        </w:rPr>
        <w:t>p</w:t>
      </w:r>
      <w:r w:rsidRPr="00FA7919">
        <w:rPr>
          <w:rFonts w:ascii="Times New Roman" w:hAnsi="Times New Roman" w:cs="Times New Roman"/>
          <w:sz w:val="24"/>
          <w:szCs w:val="24"/>
        </w:rPr>
        <w:t xml:space="preserve"> &lt; .001)</w:t>
      </w:r>
      <w:r w:rsidRPr="00B525A6">
        <w:rPr>
          <w:rFonts w:ascii="Times New Roman" w:hAnsi="Times New Roman" w:cs="Times New Roman"/>
          <w:sz w:val="24"/>
          <w:szCs w:val="24"/>
        </w:rPr>
        <w:t xml:space="preserve">, including </w:t>
      </w:r>
      <w:r w:rsidRPr="004F3E51">
        <w:rPr>
          <w:rFonts w:ascii="Times New Roman" w:hAnsi="Times New Roman" w:cs="Times New Roman"/>
          <w:sz w:val="24"/>
          <w:szCs w:val="24"/>
        </w:rPr>
        <w:t>NO</w:t>
      </w:r>
      <w:r>
        <w:rPr>
          <w:rFonts w:ascii="Times New Roman" w:hAnsi="Times New Roman" w:cs="Times New Roman"/>
          <w:sz w:val="24"/>
          <w:szCs w:val="24"/>
        </w:rPr>
        <w:t xml:space="preserve">, </w:t>
      </w:r>
      <w:r w:rsidRPr="004F3E51">
        <w:rPr>
          <w:rFonts w:ascii="Times New Roman" w:hAnsi="Times New Roman" w:cs="Times New Roman"/>
          <w:sz w:val="24"/>
          <w:szCs w:val="24"/>
        </w:rPr>
        <w:t>NO</w:t>
      </w:r>
      <w:r w:rsidRPr="004F3E51">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4F3E51">
        <w:rPr>
          <w:rFonts w:ascii="Times New Roman" w:hAnsi="Times New Roman" w:cs="Times New Roman"/>
          <w:sz w:val="24"/>
          <w:szCs w:val="24"/>
        </w:rPr>
        <w:t>SIA</w:t>
      </w:r>
      <w:r w:rsidRPr="004F3E51">
        <w:rPr>
          <w:rFonts w:ascii="Times New Roman" w:hAnsi="Times New Roman" w:cs="Times New Roman"/>
          <w:sz w:val="24"/>
          <w:szCs w:val="24"/>
          <w:vertAlign w:val="subscript"/>
        </w:rPr>
        <w:t>2.5</w:t>
      </w:r>
      <w:r w:rsidRPr="004F3E51">
        <w:rPr>
          <w:rFonts w:ascii="Times New Roman" w:hAnsi="Times New Roman" w:cs="Times New Roman"/>
          <w:sz w:val="24"/>
          <w:szCs w:val="24"/>
        </w:rPr>
        <w:t>,</w:t>
      </w:r>
      <w:r>
        <w:rPr>
          <w:rFonts w:ascii="Times New Roman" w:hAnsi="Times New Roman" w:cs="Times New Roman"/>
          <w:sz w:val="24"/>
          <w:szCs w:val="24"/>
        </w:rPr>
        <w:t xml:space="preserve">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2.5</w:t>
      </w:r>
      <w:r>
        <w:rPr>
          <w:rFonts w:ascii="Times New Roman" w:hAnsi="Times New Roman" w:cs="Times New Roman"/>
          <w:sz w:val="24"/>
          <w:szCs w:val="24"/>
        </w:rPr>
        <w:t xml:space="preserve">,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10</w:t>
      </w:r>
      <w:r>
        <w:rPr>
          <w:rFonts w:ascii="Times New Roman" w:hAnsi="Times New Roman" w:cs="Times New Roman"/>
          <w:sz w:val="24"/>
          <w:szCs w:val="24"/>
        </w:rPr>
        <w:t xml:space="preserve"> and </w:t>
      </w:r>
      <w:r w:rsidRPr="004F3E51">
        <w:rPr>
          <w:rFonts w:ascii="Times New Roman" w:hAnsi="Times New Roman" w:cs="Times New Roman"/>
          <w:sz w:val="24"/>
          <w:szCs w:val="24"/>
        </w:rPr>
        <w:t>SO</w:t>
      </w:r>
      <w:r w:rsidRPr="004F3E51">
        <w:rPr>
          <w:rFonts w:ascii="Times New Roman" w:hAnsi="Times New Roman" w:cs="Times New Roman"/>
          <w:sz w:val="24"/>
          <w:szCs w:val="24"/>
          <w:vertAlign w:val="subscript"/>
        </w:rPr>
        <w:t>2</w:t>
      </w:r>
      <w:r w:rsidRPr="00B525A6">
        <w:rPr>
          <w:rFonts w:ascii="Times New Roman" w:hAnsi="Times New Roman" w:cs="Times New Roman"/>
          <w:sz w:val="24"/>
          <w:szCs w:val="24"/>
        </w:rPr>
        <w:t xml:space="preserve">, by </w:t>
      </w:r>
      <w:r w:rsidRPr="00A11842">
        <w:rPr>
          <w:rFonts w:ascii="Times New Roman" w:hAnsi="Times New Roman" w:cs="Times New Roman"/>
          <w:sz w:val="24"/>
          <w:szCs w:val="24"/>
        </w:rPr>
        <w:t>−</w:t>
      </w:r>
      <w:r w:rsidRPr="00FA7919">
        <w:rPr>
          <w:rFonts w:ascii="Times New Roman" w:hAnsi="Times New Roman" w:cs="Times New Roman"/>
          <w:sz w:val="24"/>
          <w:szCs w:val="24"/>
        </w:rPr>
        <w:t>0.08 ± 0.09 ppb (</w:t>
      </w:r>
      <w:r w:rsidRPr="00A11842">
        <w:rPr>
          <w:rFonts w:ascii="Times New Roman" w:hAnsi="Times New Roman" w:cs="Times New Roman"/>
          <w:sz w:val="24"/>
          <w:szCs w:val="24"/>
        </w:rPr>
        <w:t>−</w:t>
      </w:r>
      <w:r w:rsidRPr="00FA7919">
        <w:rPr>
          <w:rFonts w:ascii="Times New Roman" w:hAnsi="Times New Roman" w:cs="Times New Roman"/>
          <w:sz w:val="24"/>
          <w:szCs w:val="24"/>
        </w:rPr>
        <w:t>32%</w:t>
      </w:r>
      <w:r>
        <w:rPr>
          <w:rFonts w:ascii="Times New Roman" w:hAnsi="Times New Roman" w:cs="Times New Roman"/>
          <w:sz w:val="24"/>
          <w:szCs w:val="24"/>
        </w:rPr>
        <w:t>)</w:t>
      </w:r>
      <w:r w:rsidRPr="00FA7919">
        <w:rPr>
          <w:rFonts w:ascii="Times New Roman" w:hAnsi="Times New Roman" w:cs="Times New Roman"/>
          <w:sz w:val="24"/>
          <w:szCs w:val="24"/>
        </w:rPr>
        <w:t>,</w:t>
      </w:r>
      <w:r w:rsidRPr="008A120F">
        <w:rPr>
          <w:rFonts w:ascii="Times New Roman" w:hAnsi="Times New Roman" w:cs="Times New Roman"/>
          <w:sz w:val="24"/>
          <w:szCs w:val="24"/>
        </w:rPr>
        <w:t xml:space="preserve"> </w:t>
      </w:r>
      <w:r w:rsidRPr="00A11842">
        <w:rPr>
          <w:rFonts w:ascii="Times New Roman" w:hAnsi="Times New Roman" w:cs="Times New Roman"/>
          <w:sz w:val="24"/>
          <w:szCs w:val="24"/>
        </w:rPr>
        <w:t>−</w:t>
      </w:r>
      <w:r w:rsidRPr="00FA7919">
        <w:rPr>
          <w:rFonts w:ascii="Times New Roman" w:hAnsi="Times New Roman" w:cs="Times New Roman"/>
          <w:sz w:val="24"/>
          <w:szCs w:val="24"/>
        </w:rPr>
        <w:t>0.48 ± 0.49 ppb (</w:t>
      </w:r>
      <w:r w:rsidRPr="00A11842">
        <w:rPr>
          <w:rFonts w:ascii="Times New Roman" w:hAnsi="Times New Roman" w:cs="Times New Roman"/>
          <w:sz w:val="24"/>
          <w:szCs w:val="24"/>
        </w:rPr>
        <w:t>−</w:t>
      </w:r>
      <w:r w:rsidRPr="00FA7919">
        <w:rPr>
          <w:rFonts w:ascii="Times New Roman" w:hAnsi="Times New Roman" w:cs="Times New Roman"/>
          <w:sz w:val="24"/>
          <w:szCs w:val="24"/>
        </w:rPr>
        <w:t>26%),</w:t>
      </w:r>
      <w:r w:rsidRPr="008A120F">
        <w:rPr>
          <w:rFonts w:ascii="Times New Roman" w:hAnsi="Times New Roman" w:cs="Times New Roman"/>
          <w:sz w:val="24"/>
          <w:szCs w:val="24"/>
        </w:rPr>
        <w:t xml:space="preserve"> </w:t>
      </w:r>
      <w:r w:rsidRPr="00A11842">
        <w:rPr>
          <w:rFonts w:ascii="Times New Roman" w:hAnsi="Times New Roman" w:cs="Times New Roman"/>
          <w:sz w:val="24"/>
          <w:szCs w:val="24"/>
        </w:rPr>
        <w:t>−</w:t>
      </w:r>
      <w:r w:rsidRPr="00FA7919">
        <w:rPr>
          <w:rFonts w:ascii="Times New Roman" w:hAnsi="Times New Roman" w:cs="Times New Roman"/>
          <w:sz w:val="24"/>
          <w:szCs w:val="24"/>
        </w:rPr>
        <w:t>0.64 ± 0.53 µg m</w:t>
      </w:r>
      <w:r w:rsidRPr="00FA7919">
        <w:rPr>
          <w:rFonts w:ascii="Times New Roman" w:hAnsi="Times New Roman" w:cs="Times New Roman"/>
          <w:sz w:val="24"/>
          <w:szCs w:val="24"/>
          <w:vertAlign w:val="superscript"/>
        </w:rPr>
        <w:t>−3</w:t>
      </w:r>
      <w:r w:rsidRPr="00FA7919">
        <w:rPr>
          <w:rFonts w:ascii="Times New Roman" w:hAnsi="Times New Roman" w:cs="Times New Roman"/>
          <w:sz w:val="24"/>
          <w:szCs w:val="24"/>
        </w:rPr>
        <w:t xml:space="preserve"> (</w:t>
      </w:r>
      <w:r w:rsidRPr="00A11842">
        <w:rPr>
          <w:rFonts w:ascii="Times New Roman" w:hAnsi="Times New Roman" w:cs="Times New Roman"/>
          <w:sz w:val="24"/>
          <w:szCs w:val="24"/>
        </w:rPr>
        <w:t>−</w:t>
      </w:r>
      <w:r w:rsidRPr="00FA7919">
        <w:rPr>
          <w:rFonts w:ascii="Times New Roman" w:hAnsi="Times New Roman" w:cs="Times New Roman"/>
          <w:sz w:val="24"/>
          <w:szCs w:val="24"/>
        </w:rPr>
        <w:t>18%)</w:t>
      </w:r>
      <w:r w:rsidRPr="008A120F">
        <w:rPr>
          <w:rFonts w:ascii="Times New Roman" w:hAnsi="Times New Roman" w:cs="Times New Roman"/>
          <w:sz w:val="24"/>
          <w:szCs w:val="24"/>
        </w:rPr>
        <w:t xml:space="preserve">, </w:t>
      </w:r>
      <w:r w:rsidRPr="00A11842">
        <w:rPr>
          <w:rFonts w:ascii="Times New Roman" w:hAnsi="Times New Roman" w:cs="Times New Roman"/>
          <w:sz w:val="24"/>
          <w:szCs w:val="24"/>
        </w:rPr>
        <w:t>−</w:t>
      </w:r>
      <w:r w:rsidRPr="00FA7919">
        <w:rPr>
          <w:rFonts w:ascii="Times New Roman" w:hAnsi="Times New Roman" w:cs="Times New Roman"/>
          <w:sz w:val="24"/>
          <w:szCs w:val="24"/>
        </w:rPr>
        <w:t>0.71 ± 0.58 µg m</w:t>
      </w:r>
      <w:r w:rsidRPr="00FA7919">
        <w:rPr>
          <w:rFonts w:ascii="Times New Roman" w:hAnsi="Times New Roman" w:cs="Times New Roman"/>
          <w:sz w:val="24"/>
          <w:szCs w:val="24"/>
          <w:vertAlign w:val="superscript"/>
        </w:rPr>
        <w:t>-3</w:t>
      </w:r>
      <w:r w:rsidRPr="00FA7919">
        <w:rPr>
          <w:rFonts w:ascii="Times New Roman" w:hAnsi="Times New Roman" w:cs="Times New Roman"/>
          <w:sz w:val="24"/>
          <w:szCs w:val="24"/>
        </w:rPr>
        <w:t xml:space="preserve"> (</w:t>
      </w:r>
      <w:r w:rsidRPr="00A11842">
        <w:rPr>
          <w:rFonts w:ascii="Times New Roman" w:hAnsi="Times New Roman" w:cs="Times New Roman"/>
          <w:sz w:val="24"/>
          <w:szCs w:val="24"/>
        </w:rPr>
        <w:t>−</w:t>
      </w:r>
      <w:r w:rsidRPr="00FA7919">
        <w:rPr>
          <w:rFonts w:ascii="Times New Roman" w:hAnsi="Times New Roman" w:cs="Times New Roman"/>
          <w:sz w:val="24"/>
          <w:szCs w:val="24"/>
        </w:rPr>
        <w:t xml:space="preserve">12%), </w:t>
      </w:r>
      <w:r w:rsidRPr="00A11842">
        <w:rPr>
          <w:rFonts w:ascii="Times New Roman" w:hAnsi="Times New Roman" w:cs="Times New Roman"/>
          <w:sz w:val="24"/>
          <w:szCs w:val="24"/>
        </w:rPr>
        <w:t>−</w:t>
      </w:r>
      <w:r w:rsidRPr="00FA7919">
        <w:rPr>
          <w:rFonts w:ascii="Times New Roman" w:hAnsi="Times New Roman" w:cs="Times New Roman"/>
          <w:sz w:val="24"/>
          <w:szCs w:val="24"/>
        </w:rPr>
        <w:t>0.77 ± 0.61 µg m</w:t>
      </w:r>
      <w:r w:rsidRPr="00FA7919">
        <w:rPr>
          <w:rFonts w:ascii="Times New Roman" w:hAnsi="Times New Roman" w:cs="Times New Roman"/>
          <w:sz w:val="24"/>
          <w:szCs w:val="24"/>
          <w:vertAlign w:val="superscript"/>
        </w:rPr>
        <w:t>−3</w:t>
      </w:r>
      <w:r w:rsidRPr="00FA7919">
        <w:rPr>
          <w:rFonts w:ascii="Times New Roman" w:hAnsi="Times New Roman" w:cs="Times New Roman"/>
          <w:sz w:val="24"/>
          <w:szCs w:val="24"/>
        </w:rPr>
        <w:t xml:space="preserve"> (</w:t>
      </w:r>
      <w:r w:rsidRPr="00A11842">
        <w:rPr>
          <w:rFonts w:ascii="Times New Roman" w:hAnsi="Times New Roman" w:cs="Times New Roman"/>
          <w:sz w:val="24"/>
          <w:szCs w:val="24"/>
        </w:rPr>
        <w:t>−</w:t>
      </w:r>
      <w:r w:rsidRPr="00FA7919">
        <w:rPr>
          <w:rFonts w:ascii="Times New Roman" w:hAnsi="Times New Roman" w:cs="Times New Roman"/>
          <w:sz w:val="24"/>
          <w:szCs w:val="24"/>
        </w:rPr>
        <w:t xml:space="preserve">7.8%, </w:t>
      </w:r>
      <w:r w:rsidRPr="00FA7919">
        <w:rPr>
          <w:rFonts w:ascii="Times New Roman" w:hAnsi="Times New Roman" w:cs="Times New Roman"/>
          <w:i/>
          <w:sz w:val="24"/>
          <w:szCs w:val="24"/>
        </w:rPr>
        <w:t>p</w:t>
      </w:r>
      <w:r w:rsidRPr="00FA7919">
        <w:rPr>
          <w:rFonts w:ascii="Times New Roman" w:hAnsi="Times New Roman" w:cs="Times New Roman"/>
          <w:sz w:val="24"/>
          <w:szCs w:val="24"/>
        </w:rPr>
        <w:t xml:space="preserve"> &lt; .001)</w:t>
      </w:r>
      <w:r w:rsidRPr="008A120F">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A11842">
        <w:rPr>
          <w:rFonts w:ascii="Times New Roman" w:hAnsi="Times New Roman" w:cs="Times New Roman"/>
          <w:sz w:val="24"/>
          <w:szCs w:val="24"/>
        </w:rPr>
        <w:t>−</w:t>
      </w:r>
      <w:r w:rsidRPr="00FA7919">
        <w:rPr>
          <w:rFonts w:ascii="Times New Roman" w:hAnsi="Times New Roman" w:cs="Times New Roman"/>
          <w:sz w:val="24"/>
          <w:szCs w:val="24"/>
        </w:rPr>
        <w:t>0.</w:t>
      </w:r>
      <w:r>
        <w:rPr>
          <w:rFonts w:ascii="Times New Roman" w:hAnsi="Times New Roman" w:cs="Times New Roman"/>
          <w:sz w:val="24"/>
          <w:szCs w:val="24"/>
        </w:rPr>
        <w:t>01</w:t>
      </w:r>
      <w:r w:rsidRPr="00FA7919">
        <w:rPr>
          <w:rFonts w:ascii="Times New Roman" w:hAnsi="Times New Roman" w:cs="Times New Roman"/>
          <w:sz w:val="24"/>
          <w:szCs w:val="24"/>
        </w:rPr>
        <w:t xml:space="preserve"> ± 0.</w:t>
      </w:r>
      <w:r>
        <w:rPr>
          <w:rFonts w:ascii="Times New Roman" w:hAnsi="Times New Roman" w:cs="Times New Roman"/>
          <w:sz w:val="24"/>
          <w:szCs w:val="24"/>
        </w:rPr>
        <w:t>01</w:t>
      </w:r>
      <w:r w:rsidRPr="00FA7919">
        <w:rPr>
          <w:rFonts w:ascii="Times New Roman" w:hAnsi="Times New Roman" w:cs="Times New Roman"/>
          <w:sz w:val="24"/>
          <w:szCs w:val="24"/>
        </w:rPr>
        <w:t xml:space="preserve"> ppb (</w:t>
      </w:r>
      <w:r w:rsidRPr="00A11842">
        <w:rPr>
          <w:rFonts w:ascii="Times New Roman" w:hAnsi="Times New Roman" w:cs="Times New Roman"/>
          <w:sz w:val="24"/>
          <w:szCs w:val="24"/>
        </w:rPr>
        <w:t>−</w:t>
      </w:r>
      <w:r>
        <w:rPr>
          <w:rFonts w:ascii="Times New Roman" w:hAnsi="Times New Roman" w:cs="Times New Roman"/>
          <w:sz w:val="24"/>
          <w:szCs w:val="24"/>
        </w:rPr>
        <w:t>4.5</w:t>
      </w:r>
      <w:r w:rsidRPr="00FA7919">
        <w:rPr>
          <w:rFonts w:ascii="Times New Roman" w:hAnsi="Times New Roman" w:cs="Times New Roman"/>
          <w:sz w:val="24"/>
          <w:szCs w:val="24"/>
        </w:rPr>
        <w:t>%)</w:t>
      </w:r>
      <w:r w:rsidRPr="004F3E51">
        <w:rPr>
          <w:rFonts w:ascii="Times New Roman" w:hAnsi="Times New Roman" w:cs="Times New Roman"/>
          <w:sz w:val="24"/>
          <w:szCs w:val="24"/>
        </w:rPr>
        <w:t>,</w:t>
      </w:r>
      <w:r>
        <w:rPr>
          <w:rFonts w:ascii="Times New Roman" w:hAnsi="Times New Roman" w:cs="Times New Roman"/>
          <w:sz w:val="24"/>
          <w:szCs w:val="24"/>
        </w:rPr>
        <w:t xml:space="preserve"> </w:t>
      </w:r>
      <w:r w:rsidRPr="004F3E51">
        <w:rPr>
          <w:rFonts w:ascii="Times New Roman" w:hAnsi="Times New Roman" w:cs="Times New Roman"/>
          <w:sz w:val="24"/>
          <w:szCs w:val="24"/>
        </w:rPr>
        <w:t>respectively</w:t>
      </w:r>
      <w:r>
        <w:rPr>
          <w:rFonts w:ascii="Times New Roman" w:hAnsi="Times New Roman" w:cs="Times New Roman"/>
          <w:sz w:val="24"/>
          <w:szCs w:val="24"/>
        </w:rPr>
        <w:t>. However</w:t>
      </w:r>
      <w:r w:rsidRPr="004F3E51">
        <w:rPr>
          <w:rFonts w:ascii="Times New Roman" w:eastAsia="Times New Roman" w:hAnsi="Times New Roman" w:cs="Times New Roman"/>
          <w:sz w:val="24"/>
          <w:szCs w:val="24"/>
        </w:rPr>
        <w:t>, there was a small but still significant anomaly of O</w:t>
      </w:r>
      <w:r w:rsidRPr="004F3E51">
        <w:rPr>
          <w:rFonts w:ascii="Times New Roman" w:eastAsia="Times New Roman" w:hAnsi="Times New Roman" w:cs="Times New Roman"/>
          <w:sz w:val="24"/>
          <w:szCs w:val="24"/>
          <w:vertAlign w:val="subscript"/>
        </w:rPr>
        <w:t>3</w:t>
      </w:r>
      <w:r w:rsidRPr="004F3E51">
        <w:rPr>
          <w:rFonts w:ascii="Times New Roman" w:eastAsia="Times New Roman" w:hAnsi="Times New Roman" w:cs="Times New Roman"/>
          <w:sz w:val="24"/>
          <w:szCs w:val="24"/>
        </w:rPr>
        <w:t xml:space="preserve"> concentration</w:t>
      </w:r>
      <w:r>
        <w:rPr>
          <w:rFonts w:ascii="Times New Roman" w:eastAsia="Times New Roman" w:hAnsi="Times New Roman" w:cs="Times New Roman"/>
          <w:sz w:val="24"/>
          <w:szCs w:val="24"/>
        </w:rPr>
        <w:t xml:space="preserve"> (</w:t>
      </w:r>
      <w:r w:rsidRPr="004F3E51">
        <w:rPr>
          <w:rFonts w:ascii="Times New Roman" w:hAnsi="Times New Roman" w:cs="Times New Roman"/>
          <w:sz w:val="24"/>
          <w:szCs w:val="24"/>
        </w:rPr>
        <w:t>−0.72 ± 0.51 ppb</w:t>
      </w:r>
      <w:r>
        <w:rPr>
          <w:rFonts w:ascii="Times New Roman" w:hAnsi="Times New Roman" w:cs="Times New Roman"/>
          <w:sz w:val="24"/>
          <w:szCs w:val="24"/>
        </w:rPr>
        <w:t xml:space="preserve">, </w:t>
      </w:r>
      <w:r w:rsidRPr="004F3E51">
        <w:rPr>
          <w:rFonts w:ascii="Times New Roman" w:hAnsi="Times New Roman" w:cs="Times New Roman"/>
          <w:sz w:val="24"/>
          <w:szCs w:val="24"/>
        </w:rPr>
        <w:t xml:space="preserve">−1.8%, </w:t>
      </w:r>
      <w:r w:rsidRPr="004F3E51">
        <w:rPr>
          <w:rFonts w:ascii="Times New Roman" w:hAnsi="Times New Roman" w:cs="Times New Roman"/>
          <w:i/>
          <w:sz w:val="24"/>
          <w:szCs w:val="24"/>
        </w:rPr>
        <w:t>p</w:t>
      </w:r>
      <w:r w:rsidRPr="004F3E51">
        <w:rPr>
          <w:rFonts w:ascii="Times New Roman" w:hAnsi="Times New Roman" w:cs="Times New Roman"/>
          <w:sz w:val="24"/>
          <w:szCs w:val="24"/>
        </w:rPr>
        <w:t xml:space="preserve"> &lt; .001)</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despite </w:t>
      </w:r>
      <w:r w:rsidRPr="004F3E51">
        <w:rPr>
          <w:rFonts w:ascii="Times New Roman" w:eastAsia="Times New Roman" w:hAnsi="Times New Roman" w:cs="Times New Roman"/>
          <w:sz w:val="24"/>
          <w:szCs w:val="24"/>
        </w:rPr>
        <w:t>substantial reduction</w:t>
      </w:r>
      <w:r>
        <w:rPr>
          <w:rFonts w:ascii="Times New Roman" w:eastAsia="Times New Roman" w:hAnsi="Times New Roman" w:cs="Times New Roman"/>
          <w:sz w:val="24"/>
          <w:szCs w:val="24"/>
        </w:rPr>
        <w:t>s</w:t>
      </w:r>
      <w:r w:rsidRPr="004F3E51">
        <w:rPr>
          <w:rFonts w:ascii="Times New Roman" w:eastAsia="Times New Roman" w:hAnsi="Times New Roman" w:cs="Times New Roman"/>
          <w:sz w:val="24"/>
          <w:szCs w:val="24"/>
        </w:rPr>
        <w:t xml:space="preserve"> in its precursors. </w:t>
      </w:r>
      <w:r>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lastRenderedPageBreak/>
        <w:t xml:space="preserve">contrast, </w:t>
      </w:r>
      <w:r>
        <w:rPr>
          <w:rFonts w:ascii="Times New Roman" w:hAnsi="Times New Roman" w:cs="Times New Roman"/>
          <w:sz w:val="24"/>
          <w:szCs w:val="24"/>
        </w:rPr>
        <w:t>a</w:t>
      </w:r>
      <w:r w:rsidRPr="004F3E51">
        <w:rPr>
          <w:rFonts w:ascii="Times New Roman" w:hAnsi="Times New Roman" w:cs="Times New Roman"/>
          <w:sz w:val="24"/>
          <w:szCs w:val="24"/>
        </w:rPr>
        <w:t>tmospheric NH</w:t>
      </w:r>
      <w:r w:rsidRPr="004F3E51">
        <w:rPr>
          <w:rFonts w:ascii="Times New Roman" w:hAnsi="Times New Roman" w:cs="Times New Roman"/>
          <w:sz w:val="24"/>
          <w:szCs w:val="24"/>
          <w:vertAlign w:val="subscript"/>
        </w:rPr>
        <w:t>3</w:t>
      </w:r>
      <w:r>
        <w:rPr>
          <w:rFonts w:ascii="Times New Roman" w:hAnsi="Times New Roman" w:cs="Times New Roman"/>
          <w:sz w:val="24"/>
          <w:szCs w:val="24"/>
        </w:rPr>
        <w:t>, which is</w:t>
      </w:r>
      <w:r w:rsidRPr="004F3E51">
        <w:rPr>
          <w:rFonts w:ascii="Times New Roman" w:hAnsi="Times New Roman" w:cs="Times New Roman"/>
          <w:sz w:val="24"/>
          <w:szCs w:val="24"/>
        </w:rPr>
        <w:t xml:space="preserve"> emitted</w:t>
      </w:r>
      <w:r>
        <w:rPr>
          <w:rFonts w:ascii="Times New Roman" w:hAnsi="Times New Roman" w:cs="Times New Roman"/>
          <w:sz w:val="24"/>
          <w:szCs w:val="24"/>
        </w:rPr>
        <w:t xml:space="preserve"> primarily</w:t>
      </w:r>
      <w:r w:rsidRPr="004F3E51">
        <w:rPr>
          <w:rFonts w:ascii="Times New Roman" w:hAnsi="Times New Roman" w:cs="Times New Roman"/>
          <w:sz w:val="24"/>
          <w:szCs w:val="24"/>
        </w:rPr>
        <w:t xml:space="preserve"> from agricultural activities</w:t>
      </w:r>
      <w:r>
        <w:rPr>
          <w:rFonts w:ascii="Times New Roman" w:hAnsi="Times New Roman" w:cs="Times New Roman"/>
          <w:sz w:val="24"/>
          <w:szCs w:val="24"/>
        </w:rPr>
        <w:t xml:space="preserve"> such as manure and fertilizer application in spring,</w:t>
      </w:r>
      <w:r w:rsidRPr="004F3E51">
        <w:rPr>
          <w:rFonts w:ascii="Times New Roman" w:hAnsi="Times New Roman" w:cs="Times New Roman"/>
          <w:sz w:val="24"/>
          <w:szCs w:val="24"/>
        </w:rPr>
        <w:t xml:space="preserve"> increase</w:t>
      </w:r>
      <w:r>
        <w:rPr>
          <w:rFonts w:ascii="Times New Roman" w:hAnsi="Times New Roman" w:cs="Times New Roman"/>
          <w:sz w:val="24"/>
          <w:szCs w:val="24"/>
        </w:rPr>
        <w:t>d</w:t>
      </w:r>
      <w:r w:rsidRPr="004F3E51">
        <w:rPr>
          <w:rFonts w:ascii="Times New Roman" w:hAnsi="Times New Roman" w:cs="Times New Roman"/>
          <w:sz w:val="24"/>
          <w:szCs w:val="24"/>
        </w:rPr>
        <w:t xml:space="preserve"> by 1.35% (0.07 ± 0.07 ppb, </w:t>
      </w:r>
      <w:r w:rsidRPr="004F3E51">
        <w:rPr>
          <w:rFonts w:ascii="Times New Roman" w:hAnsi="Times New Roman" w:cs="Times New Roman"/>
          <w:i/>
          <w:sz w:val="24"/>
          <w:szCs w:val="24"/>
        </w:rPr>
        <w:t>p</w:t>
      </w:r>
      <w:r w:rsidRPr="004F3E51">
        <w:rPr>
          <w:rFonts w:ascii="Times New Roman" w:hAnsi="Times New Roman" w:cs="Times New Roman"/>
          <w:sz w:val="24"/>
          <w:szCs w:val="24"/>
        </w:rPr>
        <w:t xml:space="preserve"> &lt; .001).</w:t>
      </w:r>
    </w:p>
    <w:p w14:paraId="31C0F0D5" w14:textId="77777777" w:rsidR="00103AF5" w:rsidRDefault="00103AF5" w:rsidP="00103AF5">
      <w:pPr>
        <w:snapToGrid w:val="0"/>
        <w:spacing w:after="0" w:line="480" w:lineRule="auto"/>
        <w:ind w:firstLine="720"/>
        <w:rPr>
          <w:rFonts w:ascii="Times New Roman" w:hAnsi="Times New Roman" w:cs="Times New Roman"/>
          <w:sz w:val="24"/>
          <w:szCs w:val="24"/>
        </w:rPr>
      </w:pPr>
      <w:r>
        <w:rPr>
          <w:rFonts w:ascii="Times New Roman" w:hAnsi="Times New Roman" w:cs="Times New Roman"/>
          <w:bCs/>
          <w:sz w:val="24"/>
          <w:szCs w:val="24"/>
        </w:rPr>
        <w:t xml:space="preserve">We analysed the cumulative GPP and driving variables averaged over the 44 sites in spring 2020 and compared them with each previous spring from 2015 to 2019 (Table 1). Our results show that the </w:t>
      </w:r>
      <w:r w:rsidRPr="004F3E51">
        <w:rPr>
          <w:rFonts w:ascii="Times New Roman" w:hAnsi="Times New Roman" w:cs="Times New Roman"/>
          <w:sz w:val="24"/>
          <w:szCs w:val="24"/>
        </w:rPr>
        <w:t>GPP</w:t>
      </w:r>
      <w:r>
        <w:rPr>
          <w:rFonts w:ascii="Times New Roman" w:hAnsi="Times New Roman" w:cs="Times New Roman"/>
          <w:sz w:val="24"/>
          <w:szCs w:val="24"/>
        </w:rPr>
        <w:t xml:space="preserve"> </w:t>
      </w:r>
      <w:r w:rsidRPr="004F3E51">
        <w:rPr>
          <w:rFonts w:ascii="Times New Roman" w:hAnsi="Times New Roman" w:cs="Times New Roman"/>
          <w:sz w:val="24"/>
          <w:szCs w:val="24"/>
        </w:rPr>
        <w:t xml:space="preserve">increased by </w:t>
      </w:r>
      <w:r>
        <w:rPr>
          <w:rFonts w:ascii="Times New Roman" w:hAnsi="Times New Roman" w:cs="Times New Roman"/>
          <w:sz w:val="24"/>
          <w:szCs w:val="24"/>
        </w:rPr>
        <w:t xml:space="preserve">+26 </w:t>
      </w:r>
      <w:r w:rsidRPr="0089569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895693">
        <w:rPr>
          <w:rFonts w:ascii="Times New Roman" w:eastAsia="Times New Roman" w:hAnsi="Times New Roman" w:cs="Times New Roman"/>
          <w:color w:val="000000"/>
          <w:sz w:val="24"/>
          <w:szCs w:val="24"/>
        </w:rPr>
        <w:t>1.6</w:t>
      </w:r>
      <w:r>
        <w:rPr>
          <w:rFonts w:ascii="Times New Roman" w:hAnsi="Times New Roman" w:cs="Times New Roman"/>
          <w:sz w:val="24"/>
          <w:szCs w:val="24"/>
        </w:rPr>
        <w:t xml:space="preserve"> (</w:t>
      </w:r>
      <w:r w:rsidRPr="004F3E51">
        <w:rPr>
          <w:rFonts w:ascii="Times New Roman" w:hAnsi="Times New Roman" w:cs="Times New Roman"/>
          <w:sz w:val="24"/>
          <w:szCs w:val="24"/>
        </w:rPr>
        <w:t>+6.2%</w:t>
      </w:r>
      <w:r>
        <w:rPr>
          <w:rFonts w:ascii="Times New Roman" w:hAnsi="Times New Roman" w:cs="Times New Roman"/>
          <w:sz w:val="24"/>
          <w:szCs w:val="24"/>
        </w:rPr>
        <w:t xml:space="preserve">), </w:t>
      </w:r>
      <w:r w:rsidRPr="00895693">
        <w:rPr>
          <w:rFonts w:ascii="Times New Roman" w:eastAsia="Times New Roman" w:hAnsi="Times New Roman" w:cs="Times New Roman"/>
          <w:color w:val="000000"/>
          <w:sz w:val="24"/>
          <w:szCs w:val="24"/>
        </w:rPr>
        <w:t>+35 ±</w:t>
      </w:r>
      <w:r>
        <w:rPr>
          <w:rFonts w:ascii="Times New Roman" w:eastAsia="Times New Roman" w:hAnsi="Times New Roman" w:cs="Times New Roman"/>
          <w:color w:val="000000"/>
          <w:sz w:val="24"/>
          <w:szCs w:val="24"/>
        </w:rPr>
        <w:t xml:space="preserve"> </w:t>
      </w:r>
      <w:r w:rsidRPr="00895693">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w:t>
      </w:r>
      <w:r w:rsidRPr="004F3E51">
        <w:rPr>
          <w:rFonts w:ascii="Times New Roman" w:hAnsi="Times New Roman" w:cs="Times New Roman"/>
          <w:sz w:val="24"/>
          <w:szCs w:val="24"/>
        </w:rPr>
        <w:t>+4.9%</w:t>
      </w:r>
      <w:r>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Pr="00895693">
        <w:rPr>
          <w:rFonts w:ascii="Times New Roman" w:eastAsia="Times New Roman" w:hAnsi="Times New Roman" w:cs="Times New Roman"/>
          <w:color w:val="000000"/>
          <w:sz w:val="24"/>
          <w:szCs w:val="24"/>
        </w:rPr>
        <w:t>+62 ±</w:t>
      </w:r>
      <w:r>
        <w:rPr>
          <w:rFonts w:ascii="Times New Roman" w:eastAsia="Times New Roman" w:hAnsi="Times New Roman" w:cs="Times New Roman"/>
          <w:color w:val="000000"/>
          <w:sz w:val="24"/>
          <w:szCs w:val="24"/>
        </w:rPr>
        <w:t xml:space="preserve"> </w:t>
      </w:r>
      <w:r w:rsidRPr="00895693">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w:t>
      </w:r>
      <w:r w:rsidRPr="004F3E51">
        <w:rPr>
          <w:rFonts w:ascii="Times New Roman" w:hAnsi="Times New Roman" w:cs="Times New Roman"/>
          <w:sz w:val="24"/>
          <w:szCs w:val="24"/>
        </w:rPr>
        <w:t>+</w:t>
      </w:r>
      <w:r>
        <w:rPr>
          <w:rFonts w:ascii="Times New Roman" w:hAnsi="Times New Roman" w:cs="Times New Roman"/>
          <w:sz w:val="24"/>
          <w:szCs w:val="24"/>
        </w:rPr>
        <w:t>8.9</w:t>
      </w:r>
      <w:r w:rsidRPr="004F3E51">
        <w:rPr>
          <w:rFonts w:ascii="Times New Roman" w:hAnsi="Times New Roman" w:cs="Times New Roman"/>
          <w:sz w:val="24"/>
          <w:szCs w:val="24"/>
        </w:rPr>
        <w:t>%</w:t>
      </w:r>
      <w:r>
        <w:rPr>
          <w:rFonts w:ascii="Times New Roman" w:hAnsi="Times New Roman" w:cs="Times New Roman"/>
          <w:sz w:val="24"/>
          <w:szCs w:val="24"/>
        </w:rPr>
        <w:t>)</w:t>
      </w:r>
      <w:r w:rsidRPr="004F3E51">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and </w:t>
      </w:r>
      <w:r w:rsidRPr="00895693">
        <w:rPr>
          <w:rFonts w:ascii="Times New Roman" w:eastAsia="Times New Roman" w:hAnsi="Times New Roman" w:cs="Times New Roman"/>
          <w:color w:val="000000"/>
          <w:sz w:val="24"/>
          <w:szCs w:val="24"/>
        </w:rPr>
        <w:t>+43 ± 2.6</w:t>
      </w:r>
      <w:r>
        <w:rPr>
          <w:rFonts w:ascii="Times New Roman" w:eastAsia="Times New Roman" w:hAnsi="Times New Roman" w:cs="Times New Roman"/>
          <w:color w:val="000000"/>
          <w:sz w:val="24"/>
          <w:szCs w:val="24"/>
        </w:rPr>
        <w:t xml:space="preserve"> </w:t>
      </w:r>
      <w:r w:rsidRPr="00895693">
        <w:rPr>
          <w:rFonts w:ascii="Times New Roman" w:eastAsia="Times New Roman" w:hAnsi="Times New Roman" w:cs="Times New Roman"/>
          <w:color w:val="000000"/>
          <w:sz w:val="24"/>
          <w:szCs w:val="24"/>
        </w:rPr>
        <w:t>g C m</w:t>
      </w:r>
      <w:r w:rsidRPr="00161ADB">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w:t>
      </w:r>
      <w:r w:rsidRPr="004F3E51">
        <w:rPr>
          <w:rFonts w:ascii="Times New Roman" w:hAnsi="Times New Roman" w:cs="Times New Roman"/>
          <w:sz w:val="24"/>
          <w:szCs w:val="24"/>
        </w:rPr>
        <w:t>+6.</w:t>
      </w:r>
      <w:r>
        <w:rPr>
          <w:rFonts w:ascii="Times New Roman" w:hAnsi="Times New Roman" w:cs="Times New Roman"/>
          <w:sz w:val="24"/>
          <w:szCs w:val="24"/>
        </w:rPr>
        <w:t>1</w:t>
      </w:r>
      <w:r w:rsidRPr="004F3E51">
        <w:rPr>
          <w:rFonts w:ascii="Times New Roman" w:hAnsi="Times New Roman" w:cs="Times New Roman"/>
          <w:sz w:val="24"/>
          <w:szCs w:val="24"/>
        </w:rPr>
        <w:t>%</w:t>
      </w:r>
      <w:r>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compared to the springs of 2015, 2016, 2017 and 2019, respectively. In contrast, </w:t>
      </w:r>
      <w:r w:rsidRPr="004F3E51">
        <w:rPr>
          <w:rFonts w:ascii="Times New Roman" w:hAnsi="Times New Roman" w:cs="Times New Roman"/>
          <w:sz w:val="24"/>
          <w:szCs w:val="24"/>
        </w:rPr>
        <w:t xml:space="preserve">a small </w:t>
      </w:r>
      <w:r>
        <w:rPr>
          <w:rFonts w:ascii="Times New Roman" w:hAnsi="Times New Roman" w:cs="Times New Roman"/>
          <w:sz w:val="24"/>
          <w:szCs w:val="24"/>
        </w:rPr>
        <w:t>reduction</w:t>
      </w:r>
      <w:r w:rsidRPr="004F3E51">
        <w:rPr>
          <w:rFonts w:ascii="Times New Roman" w:hAnsi="Times New Roman" w:cs="Times New Roman"/>
          <w:sz w:val="24"/>
          <w:szCs w:val="24"/>
        </w:rPr>
        <w:t xml:space="preserve"> of </w:t>
      </w:r>
      <w:r w:rsidRPr="00A11842">
        <w:rPr>
          <w:rFonts w:ascii="Times New Roman" w:hAnsi="Times New Roman" w:cs="Times New Roman"/>
          <w:sz w:val="24"/>
          <w:szCs w:val="24"/>
        </w:rPr>
        <w:t>−</w:t>
      </w:r>
      <w:r>
        <w:rPr>
          <w:rFonts w:ascii="Times New Roman" w:hAnsi="Times New Roman" w:cs="Times New Roman"/>
          <w:sz w:val="24"/>
          <w:szCs w:val="24"/>
        </w:rPr>
        <w:t xml:space="preserve">3.4 </w:t>
      </w:r>
      <w:r w:rsidRPr="00F10033">
        <w:rPr>
          <w:rFonts w:ascii="Times New Roman" w:eastAsia="Times New Roman" w:hAnsi="Times New Roman" w:cs="Times New Roman"/>
          <w:color w:val="000000"/>
          <w:sz w:val="24"/>
          <w:szCs w:val="24"/>
        </w:rPr>
        <w:t>± 0.01</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g C m</w:t>
      </w:r>
      <w:r>
        <w:rPr>
          <w:rFonts w:ascii="Times New Roman" w:hAnsi="Times New Roman" w:cs="Times New Roman"/>
          <w:sz w:val="24"/>
          <w:szCs w:val="24"/>
          <w:vertAlign w:val="superscript"/>
        </w:rPr>
        <w:t>−</w:t>
      </w:r>
      <w:r w:rsidRPr="00B03A08">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A11842">
        <w:rPr>
          <w:rFonts w:ascii="Times New Roman" w:hAnsi="Times New Roman" w:cs="Times New Roman"/>
          <w:sz w:val="24"/>
          <w:szCs w:val="24"/>
        </w:rPr>
        <w:t>−</w:t>
      </w:r>
      <w:r w:rsidRPr="004F3E51">
        <w:rPr>
          <w:rFonts w:ascii="Times New Roman" w:hAnsi="Times New Roman" w:cs="Times New Roman"/>
          <w:sz w:val="24"/>
          <w:szCs w:val="24"/>
        </w:rPr>
        <w:t>0.45%</w:t>
      </w:r>
      <w:r>
        <w:rPr>
          <w:rFonts w:ascii="Times New Roman" w:hAnsi="Times New Roman" w:cs="Times New Roman"/>
          <w:sz w:val="24"/>
          <w:szCs w:val="24"/>
        </w:rPr>
        <w:t>)</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was observed </w:t>
      </w:r>
      <w:r w:rsidRPr="004F3E51">
        <w:rPr>
          <w:rFonts w:ascii="Times New Roman" w:hAnsi="Times New Roman" w:cs="Times New Roman"/>
          <w:sz w:val="24"/>
          <w:szCs w:val="24"/>
        </w:rPr>
        <w:t xml:space="preserve">for 2020 </w:t>
      </w:r>
      <w:r>
        <w:rPr>
          <w:rFonts w:ascii="Times New Roman" w:hAnsi="Times New Roman" w:cs="Times New Roman"/>
          <w:sz w:val="24"/>
          <w:szCs w:val="24"/>
        </w:rPr>
        <w:t xml:space="preserve">compared to </w:t>
      </w:r>
      <w:r w:rsidRPr="004F3E51">
        <w:rPr>
          <w:rFonts w:ascii="Times New Roman" w:hAnsi="Times New Roman" w:cs="Times New Roman"/>
          <w:sz w:val="24"/>
          <w:szCs w:val="24"/>
        </w:rPr>
        <w:t>2018.</w:t>
      </w:r>
    </w:p>
    <w:p w14:paraId="51E3F105" w14:textId="77777777" w:rsidR="00103AF5" w:rsidRDefault="00103AF5" w:rsidP="00103AF5">
      <w:pPr>
        <w:snapToGrid w:val="0"/>
        <w:spacing w:after="0" w:line="480" w:lineRule="auto"/>
        <w:rPr>
          <w:rFonts w:ascii="Times New Roman" w:hAnsi="Times New Roman" w:cs="Times New Roman"/>
          <w:noProof/>
          <w:sz w:val="24"/>
          <w:szCs w:val="24"/>
        </w:rPr>
      </w:pPr>
    </w:p>
    <w:p w14:paraId="30A23E42" w14:textId="77777777" w:rsidR="00103AF5" w:rsidRPr="004F3E51" w:rsidRDefault="00103AF5" w:rsidP="00103AF5">
      <w:pPr>
        <w:snapToGrid w:val="0"/>
        <w:spacing w:after="0" w:line="480" w:lineRule="auto"/>
        <w:rPr>
          <w:rFonts w:ascii="Times New Roman" w:hAnsi="Times New Roman" w:cs="Times New Roman"/>
          <w:noProof/>
          <w:sz w:val="24"/>
          <w:szCs w:val="24"/>
        </w:rPr>
      </w:pPr>
      <w:r>
        <w:rPr>
          <w:noProof/>
        </w:rPr>
        <w:drawing>
          <wp:inline distT="0" distB="0" distL="0" distR="0" wp14:anchorId="5E15E08F" wp14:editId="0854AA6A">
            <wp:extent cx="5760720" cy="3961130"/>
            <wp:effectExtent l="0" t="0" r="0" b="127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9"/>
                    <a:stretch>
                      <a:fillRect/>
                    </a:stretch>
                  </pic:blipFill>
                  <pic:spPr>
                    <a:xfrm>
                      <a:off x="0" y="0"/>
                      <a:ext cx="5760720" cy="3961130"/>
                    </a:xfrm>
                    <a:prstGeom prst="rect">
                      <a:avLst/>
                    </a:prstGeom>
                  </pic:spPr>
                </pic:pic>
              </a:graphicData>
            </a:graphic>
          </wp:inline>
        </w:drawing>
      </w:r>
    </w:p>
    <w:p w14:paraId="5B3B43F7" w14:textId="77777777" w:rsidR="00103AF5" w:rsidRDefault="00103AF5" w:rsidP="00103AF5">
      <w:pPr>
        <w:snapToGrid w:val="0"/>
        <w:spacing w:after="0" w:line="480" w:lineRule="auto"/>
        <w:rPr>
          <w:rFonts w:ascii="Times New Roman" w:hAnsi="Times New Roman" w:cs="Times New Roman"/>
          <w:bCs/>
          <w:sz w:val="24"/>
          <w:szCs w:val="24"/>
        </w:rPr>
      </w:pPr>
      <w:r w:rsidRPr="004F3E51">
        <w:rPr>
          <w:rFonts w:ascii="Times New Roman" w:hAnsi="Times New Roman" w:cs="Times New Roman"/>
          <w:b/>
          <w:sz w:val="24"/>
          <w:szCs w:val="24"/>
        </w:rPr>
        <w:t xml:space="preserve">Fig. </w:t>
      </w:r>
      <w:r>
        <w:rPr>
          <w:rFonts w:ascii="Times New Roman" w:hAnsi="Times New Roman" w:cs="Times New Roman"/>
          <w:b/>
          <w:sz w:val="24"/>
          <w:szCs w:val="24"/>
        </w:rPr>
        <w:t>3</w:t>
      </w:r>
      <w:r w:rsidRPr="004F3E51">
        <w:rPr>
          <w:rFonts w:ascii="Times New Roman" w:hAnsi="Times New Roman" w:cs="Times New Roman"/>
          <w:b/>
          <w:sz w:val="24"/>
          <w:szCs w:val="24"/>
        </w:rPr>
        <w:t xml:space="preserve">. </w:t>
      </w:r>
      <w:r w:rsidRPr="000A4322">
        <w:rPr>
          <w:rFonts w:ascii="Times New Roman" w:hAnsi="Times New Roman" w:cs="Times New Roman"/>
          <w:bCs/>
          <w:sz w:val="24"/>
          <w:szCs w:val="24"/>
        </w:rPr>
        <w:t xml:space="preserve">Comparison of reference (blue line) and 2020 spring (green line) probability density distribution across 44 sites in Europe for (a) GPP (gross primary production), (b) </w:t>
      </w:r>
      <w:r w:rsidRPr="002B1F6A">
        <w:rPr>
          <w:rFonts w:ascii="Times New Roman" w:hAnsi="Times New Roman" w:cs="Times New Roman"/>
          <w:bCs/>
          <w:sz w:val="24"/>
          <w:szCs w:val="24"/>
        </w:rPr>
        <w:t>P</w:t>
      </w:r>
      <w:r w:rsidRPr="002B1F6A">
        <w:rPr>
          <w:rFonts w:ascii="Times New Roman" w:hAnsi="Times New Roman" w:cs="Times New Roman"/>
          <w:bCs/>
          <w:sz w:val="24"/>
          <w:szCs w:val="24"/>
          <w:vertAlign w:val="subscript"/>
        </w:rPr>
        <w:t xml:space="preserve">tot </w:t>
      </w:r>
      <w:r w:rsidRPr="000A4322">
        <w:rPr>
          <w:rFonts w:ascii="Times New Roman" w:hAnsi="Times New Roman" w:cs="Times New Roman"/>
          <w:bCs/>
          <w:sz w:val="24"/>
          <w:szCs w:val="24"/>
        </w:rPr>
        <w:t>(precipitation), (c) SIA</w:t>
      </w:r>
      <w:r w:rsidRPr="000A4322">
        <w:rPr>
          <w:rFonts w:ascii="Times New Roman" w:hAnsi="Times New Roman" w:cs="Times New Roman"/>
          <w:bCs/>
          <w:sz w:val="24"/>
          <w:szCs w:val="24"/>
          <w:vertAlign w:val="subscript"/>
        </w:rPr>
        <w:t>2.5</w:t>
      </w:r>
      <w:r w:rsidRPr="000A4322">
        <w:rPr>
          <w:rFonts w:ascii="Times New Roman" w:hAnsi="Times New Roman" w:cs="Times New Roman"/>
          <w:bCs/>
          <w:sz w:val="24"/>
          <w:szCs w:val="24"/>
        </w:rPr>
        <w:t xml:space="preserve"> (secondary inorganic aerosol smaller than 2.5 µm), (d) PM</w:t>
      </w:r>
      <w:r w:rsidRPr="000A4322">
        <w:rPr>
          <w:rFonts w:ascii="Times New Roman" w:hAnsi="Times New Roman" w:cs="Times New Roman"/>
          <w:bCs/>
          <w:sz w:val="24"/>
          <w:szCs w:val="24"/>
          <w:vertAlign w:val="subscript"/>
        </w:rPr>
        <w:t>10</w:t>
      </w:r>
      <w:r w:rsidRPr="000A4322">
        <w:rPr>
          <w:rFonts w:ascii="Times New Roman" w:hAnsi="Times New Roman" w:cs="Times New Roman"/>
          <w:bCs/>
          <w:sz w:val="24"/>
          <w:szCs w:val="24"/>
        </w:rPr>
        <w:t xml:space="preserve"> (particulate matter smaller than 10 µm), (e) PM</w:t>
      </w:r>
      <w:r w:rsidRPr="000A4322">
        <w:rPr>
          <w:rFonts w:ascii="Times New Roman" w:hAnsi="Times New Roman" w:cs="Times New Roman"/>
          <w:bCs/>
          <w:sz w:val="24"/>
          <w:szCs w:val="24"/>
          <w:vertAlign w:val="subscript"/>
        </w:rPr>
        <w:t>2.5</w:t>
      </w:r>
      <w:r w:rsidRPr="000A4322">
        <w:rPr>
          <w:rFonts w:ascii="Times New Roman" w:hAnsi="Times New Roman" w:cs="Times New Roman"/>
          <w:bCs/>
          <w:sz w:val="24"/>
          <w:szCs w:val="24"/>
        </w:rPr>
        <w:t xml:space="preserve"> (particulate matter smaller than 10 µm), (f) SW</w:t>
      </w:r>
      <w:r w:rsidRPr="000A4322">
        <w:rPr>
          <w:rFonts w:ascii="Times New Roman" w:hAnsi="Times New Roman" w:cs="Times New Roman"/>
          <w:bCs/>
          <w:sz w:val="24"/>
          <w:szCs w:val="24"/>
          <w:vertAlign w:val="subscript"/>
        </w:rPr>
        <w:t>in</w:t>
      </w:r>
      <w:r w:rsidRPr="000A4322">
        <w:rPr>
          <w:rFonts w:ascii="Times New Roman" w:hAnsi="Times New Roman" w:cs="Times New Roman"/>
          <w:bCs/>
          <w:sz w:val="24"/>
          <w:szCs w:val="24"/>
        </w:rPr>
        <w:t>, (incoming shortwave radiation, measured on-site), (g) SW</w:t>
      </w:r>
      <w:r w:rsidRPr="000A4322">
        <w:rPr>
          <w:rFonts w:ascii="Times New Roman" w:hAnsi="Times New Roman" w:cs="Times New Roman"/>
          <w:bCs/>
          <w:sz w:val="24"/>
          <w:szCs w:val="24"/>
          <w:vertAlign w:val="subscript"/>
        </w:rPr>
        <w:t>in</w:t>
      </w:r>
      <w:r w:rsidRPr="000A4322">
        <w:rPr>
          <w:rFonts w:ascii="Times New Roman" w:hAnsi="Times New Roman" w:cs="Times New Roman"/>
          <w:bCs/>
          <w:sz w:val="24"/>
          <w:szCs w:val="24"/>
        </w:rPr>
        <w:t xml:space="preserve"> from the Copernicus </w:t>
      </w:r>
      <w:r w:rsidRPr="000A4322">
        <w:rPr>
          <w:rFonts w:ascii="Times New Roman" w:hAnsi="Times New Roman" w:cs="Times New Roman"/>
          <w:bCs/>
          <w:sz w:val="24"/>
          <w:szCs w:val="24"/>
        </w:rPr>
        <w:lastRenderedPageBreak/>
        <w:t>Atmosphere Monitoring Service (CAMS), (h) CAMS SW</w:t>
      </w:r>
      <w:r w:rsidRPr="000A4322">
        <w:rPr>
          <w:rFonts w:ascii="Times New Roman" w:hAnsi="Times New Roman" w:cs="Times New Roman"/>
          <w:bCs/>
          <w:sz w:val="24"/>
          <w:szCs w:val="24"/>
          <w:vertAlign w:val="subscript"/>
        </w:rPr>
        <w:t>dir</w:t>
      </w:r>
      <w:r w:rsidRPr="000A4322">
        <w:rPr>
          <w:rFonts w:ascii="Times New Roman" w:hAnsi="Times New Roman" w:cs="Times New Roman"/>
          <w:bCs/>
          <w:sz w:val="24"/>
          <w:szCs w:val="24"/>
        </w:rPr>
        <w:t xml:space="preserve"> (direct radiation), (i) CAMS SW</w:t>
      </w:r>
      <w:r w:rsidRPr="000A4322">
        <w:rPr>
          <w:rFonts w:ascii="Times New Roman" w:hAnsi="Times New Roman" w:cs="Times New Roman"/>
          <w:bCs/>
          <w:sz w:val="24"/>
          <w:szCs w:val="24"/>
          <w:vertAlign w:val="subscript"/>
        </w:rPr>
        <w:t>dif</w:t>
      </w:r>
      <w:r w:rsidRPr="000A4322">
        <w:rPr>
          <w:rFonts w:ascii="Times New Roman" w:hAnsi="Times New Roman" w:cs="Times New Roman"/>
          <w:bCs/>
          <w:sz w:val="24"/>
          <w:szCs w:val="24"/>
        </w:rPr>
        <w:t xml:space="preserve"> (diffuse radiation), (j) CAMS DF (diffuse fraction), (k) </w:t>
      </w:r>
      <w:r w:rsidRPr="002B1F6A">
        <w:rPr>
          <w:rFonts w:ascii="Times New Roman" w:hAnsi="Times New Roman" w:cs="Times New Roman"/>
          <w:bCs/>
          <w:iCs/>
          <w:sz w:val="24"/>
          <w:szCs w:val="24"/>
        </w:rPr>
        <w:t>T</w:t>
      </w:r>
      <w:r w:rsidRPr="002B1F6A">
        <w:rPr>
          <w:rFonts w:ascii="Times New Roman" w:hAnsi="Times New Roman" w:cs="Times New Roman"/>
          <w:bCs/>
          <w:iCs/>
          <w:sz w:val="24"/>
          <w:szCs w:val="24"/>
          <w:vertAlign w:val="subscript"/>
        </w:rPr>
        <w:t>a</w:t>
      </w:r>
      <w:r w:rsidRPr="00861A92">
        <w:rPr>
          <w:rFonts w:ascii="Times New Roman" w:hAnsi="Times New Roman" w:cs="Times New Roman"/>
          <w:bCs/>
          <w:iCs/>
          <w:sz w:val="24"/>
          <w:szCs w:val="24"/>
        </w:rPr>
        <w:t xml:space="preserve"> </w:t>
      </w:r>
      <w:r w:rsidRPr="000A4322">
        <w:rPr>
          <w:rFonts w:ascii="Times New Roman" w:hAnsi="Times New Roman" w:cs="Times New Roman"/>
          <w:bCs/>
          <w:sz w:val="24"/>
          <w:szCs w:val="24"/>
        </w:rPr>
        <w:t>(air temperature), (l) clear sky SW</w:t>
      </w:r>
      <w:r w:rsidRPr="000A4322">
        <w:rPr>
          <w:rFonts w:ascii="Times New Roman" w:hAnsi="Times New Roman" w:cs="Times New Roman"/>
          <w:bCs/>
          <w:sz w:val="24"/>
          <w:szCs w:val="24"/>
          <w:vertAlign w:val="subscript"/>
        </w:rPr>
        <w:t>in</w:t>
      </w:r>
      <w:r w:rsidRPr="000A4322">
        <w:rPr>
          <w:rFonts w:ascii="Times New Roman" w:hAnsi="Times New Roman" w:cs="Times New Roman"/>
          <w:bCs/>
          <w:sz w:val="24"/>
          <w:szCs w:val="24"/>
        </w:rPr>
        <w:t>, (m) clear sky SW</w:t>
      </w:r>
      <w:r w:rsidRPr="000A4322">
        <w:rPr>
          <w:rFonts w:ascii="Times New Roman" w:hAnsi="Times New Roman" w:cs="Times New Roman"/>
          <w:bCs/>
          <w:sz w:val="24"/>
          <w:szCs w:val="24"/>
          <w:vertAlign w:val="subscript"/>
        </w:rPr>
        <w:t>dir</w:t>
      </w:r>
      <w:r w:rsidRPr="000A4322">
        <w:rPr>
          <w:rFonts w:ascii="Times New Roman" w:hAnsi="Times New Roman" w:cs="Times New Roman"/>
          <w:bCs/>
          <w:sz w:val="24"/>
          <w:szCs w:val="24"/>
        </w:rPr>
        <w:t>, (n) clear sky SW</w:t>
      </w:r>
      <w:r w:rsidRPr="000A4322">
        <w:rPr>
          <w:rFonts w:ascii="Times New Roman" w:hAnsi="Times New Roman" w:cs="Times New Roman"/>
          <w:bCs/>
          <w:sz w:val="24"/>
          <w:szCs w:val="24"/>
          <w:vertAlign w:val="subscript"/>
        </w:rPr>
        <w:t>dif</w:t>
      </w:r>
      <w:r w:rsidRPr="000A4322">
        <w:rPr>
          <w:rFonts w:ascii="Times New Roman" w:hAnsi="Times New Roman" w:cs="Times New Roman"/>
          <w:bCs/>
          <w:sz w:val="24"/>
          <w:szCs w:val="24"/>
        </w:rPr>
        <w:t xml:space="preserve"> and (o) clear sky DF. </w:t>
      </w:r>
      <w:r>
        <w:rPr>
          <w:rFonts w:ascii="Times New Roman" w:hAnsi="Times New Roman" w:cs="Times New Roman"/>
          <w:bCs/>
          <w:sz w:val="24"/>
          <w:szCs w:val="24"/>
        </w:rPr>
        <w:tab/>
      </w:r>
    </w:p>
    <w:p w14:paraId="0BAB3A58" w14:textId="77777777" w:rsidR="00103AF5" w:rsidRDefault="00103AF5" w:rsidP="00103AF5">
      <w:pPr>
        <w:snapToGrid w:val="0"/>
        <w:spacing w:after="0" w:line="480" w:lineRule="auto"/>
        <w:rPr>
          <w:rFonts w:ascii="Times New Roman" w:hAnsi="Times New Roman" w:cs="Times New Roman"/>
          <w:bCs/>
          <w:sz w:val="24"/>
          <w:szCs w:val="24"/>
        </w:rPr>
      </w:pPr>
    </w:p>
    <w:p w14:paraId="42E9ECC1" w14:textId="77777777" w:rsidR="00103AF5" w:rsidRDefault="00103AF5" w:rsidP="00103AF5">
      <w:pPr>
        <w:snapToGrid w:val="0"/>
        <w:spacing w:after="0" w:line="480" w:lineRule="auto"/>
        <w:jc w:val="both"/>
        <w:rPr>
          <w:rFonts w:ascii="Times New Roman" w:hAnsi="Times New Roman" w:cs="Times New Roman"/>
          <w:sz w:val="24"/>
          <w:szCs w:val="24"/>
        </w:rPr>
      </w:pPr>
      <w:r w:rsidRPr="00B525F6">
        <w:rPr>
          <w:rFonts w:ascii="Times New Roman" w:hAnsi="Times New Roman" w:cs="Times New Roman"/>
          <w:b/>
          <w:bCs/>
          <w:sz w:val="24"/>
          <w:szCs w:val="24"/>
        </w:rPr>
        <w:t xml:space="preserve">Table 1. </w:t>
      </w:r>
      <w:r>
        <w:rPr>
          <w:rFonts w:ascii="Times New Roman" w:hAnsi="Times New Roman" w:cs="Times New Roman"/>
          <w:sz w:val="24"/>
          <w:szCs w:val="24"/>
        </w:rPr>
        <w:t>Mean anomalies of cumulative spring (March-June) gross primary production (</w:t>
      </w:r>
      <w:r w:rsidRPr="00942504">
        <w:rPr>
          <w:rFonts w:ascii="Times New Roman" w:hAnsi="Times New Roman" w:cs="Times New Roman"/>
          <w:sz w:val="24"/>
          <w:szCs w:val="24"/>
        </w:rPr>
        <w:t>∆</w:t>
      </w:r>
      <w:r>
        <w:rPr>
          <w:rFonts w:ascii="Times New Roman" w:hAnsi="Times New Roman" w:cs="Times New Roman"/>
          <w:sz w:val="24"/>
          <w:szCs w:val="24"/>
        </w:rPr>
        <w:t>GPP), incoming shortwave radiation (</w:t>
      </w:r>
      <w:r w:rsidRPr="00161ADB">
        <w:rPr>
          <w:rFonts w:ascii="Times New Roman" w:hAnsi="Times New Roman" w:cs="Times New Roman"/>
          <w:sz w:val="24"/>
          <w:szCs w:val="24"/>
        </w:rPr>
        <w:t>∆</w:t>
      </w:r>
      <w:r w:rsidRPr="0089569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W</w:t>
      </w:r>
      <w:r w:rsidRPr="00161ADB">
        <w:rPr>
          <w:rFonts w:ascii="Times New Roman" w:eastAsia="Times New Roman" w:hAnsi="Times New Roman" w:cs="Times New Roman"/>
          <w:color w:val="000000"/>
          <w:sz w:val="24"/>
          <w:szCs w:val="24"/>
          <w:vertAlign w:val="subscript"/>
        </w:rPr>
        <w:t>in</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and air temperature (</w:t>
      </w:r>
      <w:r w:rsidRPr="00161ADB">
        <w:rPr>
          <w:rFonts w:ascii="Times New Roman" w:hAnsi="Times New Roman" w:cs="Times New Roman"/>
          <w:sz w:val="24"/>
          <w:szCs w:val="24"/>
        </w:rPr>
        <w:t>∆</w:t>
      </w:r>
      <w:r w:rsidRPr="002B1F6A">
        <w:rPr>
          <w:rFonts w:ascii="Times New Roman" w:eastAsia="Times New Roman" w:hAnsi="Times New Roman" w:cs="Times New Roman"/>
          <w:color w:val="000000"/>
          <w:sz w:val="24"/>
          <w:szCs w:val="24"/>
        </w:rPr>
        <w:t>T</w:t>
      </w:r>
      <w:r w:rsidRPr="002B1F6A">
        <w:rPr>
          <w:rFonts w:ascii="Times New Roman" w:eastAsia="Times New Roman" w:hAnsi="Times New Roman" w:cs="Times New Roman"/>
          <w:color w:val="000000"/>
          <w:sz w:val="24"/>
          <w:szCs w:val="24"/>
          <w:vertAlign w:val="subscript"/>
        </w:rPr>
        <w:t>a</w:t>
      </w:r>
      <w:r>
        <w:rPr>
          <w:rFonts w:ascii="Times New Roman" w:hAnsi="Times New Roman" w:cs="Times New Roman"/>
          <w:sz w:val="24"/>
          <w:szCs w:val="24"/>
        </w:rPr>
        <w:t>) between 2020 and individual years from the reference period of 2015-2019.</w:t>
      </w:r>
    </w:p>
    <w:tbl>
      <w:tblPr>
        <w:tblW w:w="7960" w:type="dxa"/>
        <w:tblLook w:val="04A0" w:firstRow="1" w:lastRow="0" w:firstColumn="1" w:lastColumn="0" w:noHBand="0" w:noVBand="1"/>
      </w:tblPr>
      <w:tblGrid>
        <w:gridCol w:w="2020"/>
        <w:gridCol w:w="1980"/>
        <w:gridCol w:w="1980"/>
        <w:gridCol w:w="1980"/>
      </w:tblGrid>
      <w:tr w:rsidR="00103AF5" w:rsidRPr="00F10033" w14:paraId="17599666" w14:textId="77777777" w:rsidTr="00C141CF">
        <w:trPr>
          <w:trHeight w:val="383"/>
        </w:trPr>
        <w:tc>
          <w:tcPr>
            <w:tcW w:w="2020" w:type="dxa"/>
            <w:tcBorders>
              <w:top w:val="single" w:sz="8" w:space="0" w:color="auto"/>
              <w:left w:val="nil"/>
              <w:bottom w:val="single" w:sz="8" w:space="0" w:color="auto"/>
              <w:right w:val="nil"/>
            </w:tcBorders>
            <w:shd w:val="clear" w:color="auto" w:fill="auto"/>
            <w:vAlign w:val="center"/>
            <w:hideMark/>
          </w:tcPr>
          <w:p w14:paraId="232C7717"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Year compared</w:t>
            </w:r>
          </w:p>
        </w:tc>
        <w:tc>
          <w:tcPr>
            <w:tcW w:w="1980" w:type="dxa"/>
            <w:tcBorders>
              <w:top w:val="single" w:sz="8" w:space="0" w:color="auto"/>
              <w:left w:val="nil"/>
              <w:bottom w:val="single" w:sz="8" w:space="0" w:color="auto"/>
              <w:right w:val="nil"/>
            </w:tcBorders>
            <w:shd w:val="clear" w:color="auto" w:fill="auto"/>
            <w:vAlign w:val="center"/>
            <w:hideMark/>
          </w:tcPr>
          <w:p w14:paraId="7BE17210"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∆GPP (g C m</w:t>
            </w:r>
            <w:r w:rsidRPr="00F10033">
              <w:rPr>
                <w:rFonts w:ascii="Times New Roman" w:eastAsia="Times New Roman" w:hAnsi="Times New Roman" w:cs="Times New Roman"/>
                <w:color w:val="000000"/>
                <w:sz w:val="24"/>
                <w:szCs w:val="24"/>
                <w:vertAlign w:val="superscript"/>
              </w:rPr>
              <w:t>−2</w:t>
            </w:r>
            <w:r w:rsidRPr="00F10033">
              <w:rPr>
                <w:rFonts w:ascii="Times New Roman" w:eastAsia="Times New Roman" w:hAnsi="Times New Roman" w:cs="Times New Roman"/>
                <w:color w:val="000000"/>
                <w:sz w:val="24"/>
                <w:szCs w:val="24"/>
              </w:rPr>
              <w:t>)</w:t>
            </w:r>
          </w:p>
        </w:tc>
        <w:tc>
          <w:tcPr>
            <w:tcW w:w="1980" w:type="dxa"/>
            <w:tcBorders>
              <w:top w:val="single" w:sz="8" w:space="0" w:color="auto"/>
              <w:left w:val="nil"/>
              <w:bottom w:val="single" w:sz="8" w:space="0" w:color="auto"/>
              <w:right w:val="nil"/>
            </w:tcBorders>
            <w:shd w:val="clear" w:color="auto" w:fill="auto"/>
            <w:vAlign w:val="center"/>
            <w:hideMark/>
          </w:tcPr>
          <w:p w14:paraId="12E1BF4F"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∆SW</w:t>
            </w:r>
            <w:r w:rsidRPr="00F10033">
              <w:rPr>
                <w:rFonts w:ascii="Times New Roman" w:eastAsia="Times New Roman" w:hAnsi="Times New Roman" w:cs="Times New Roman"/>
                <w:color w:val="000000"/>
                <w:sz w:val="24"/>
                <w:szCs w:val="24"/>
                <w:vertAlign w:val="subscript"/>
              </w:rPr>
              <w:t>in</w:t>
            </w:r>
            <w:r w:rsidRPr="00F10033">
              <w:rPr>
                <w:rFonts w:ascii="Times New Roman" w:eastAsia="Times New Roman" w:hAnsi="Times New Roman" w:cs="Times New Roman"/>
                <w:color w:val="000000"/>
                <w:sz w:val="24"/>
                <w:szCs w:val="24"/>
              </w:rPr>
              <w:t xml:space="preserve"> (W m</w:t>
            </w:r>
            <w:r w:rsidRPr="00F10033">
              <w:rPr>
                <w:rFonts w:ascii="Times New Roman" w:eastAsia="Times New Roman" w:hAnsi="Times New Roman" w:cs="Times New Roman"/>
                <w:color w:val="000000"/>
                <w:sz w:val="24"/>
                <w:szCs w:val="24"/>
                <w:vertAlign w:val="superscript"/>
              </w:rPr>
              <w:t>−2</w:t>
            </w:r>
            <w:r w:rsidRPr="00F10033">
              <w:rPr>
                <w:rFonts w:ascii="Times New Roman" w:eastAsia="Times New Roman" w:hAnsi="Times New Roman" w:cs="Times New Roman"/>
                <w:color w:val="000000"/>
                <w:sz w:val="24"/>
                <w:szCs w:val="24"/>
              </w:rPr>
              <w:t>)</w:t>
            </w:r>
          </w:p>
        </w:tc>
        <w:tc>
          <w:tcPr>
            <w:tcW w:w="1980" w:type="dxa"/>
            <w:tcBorders>
              <w:top w:val="single" w:sz="8" w:space="0" w:color="auto"/>
              <w:left w:val="nil"/>
              <w:bottom w:val="single" w:sz="8" w:space="0" w:color="auto"/>
              <w:right w:val="nil"/>
            </w:tcBorders>
            <w:shd w:val="clear" w:color="auto" w:fill="auto"/>
            <w:vAlign w:val="center"/>
            <w:hideMark/>
          </w:tcPr>
          <w:p w14:paraId="7974F7F6"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w:t>
            </w:r>
            <w:r w:rsidRPr="002B1F6A">
              <w:rPr>
                <w:rFonts w:ascii="Times New Roman" w:eastAsia="Times New Roman" w:hAnsi="Times New Roman" w:cs="Times New Roman"/>
                <w:color w:val="000000"/>
                <w:sz w:val="24"/>
                <w:szCs w:val="24"/>
              </w:rPr>
              <w:t>T</w:t>
            </w:r>
            <w:r w:rsidRPr="002B1F6A">
              <w:rPr>
                <w:rFonts w:ascii="Times New Roman" w:eastAsia="Times New Roman" w:hAnsi="Times New Roman" w:cs="Times New Roman"/>
                <w:color w:val="000000"/>
                <w:sz w:val="24"/>
                <w:szCs w:val="24"/>
                <w:vertAlign w:val="subscript"/>
              </w:rPr>
              <w:t>a</w:t>
            </w:r>
            <w:r w:rsidRPr="004D358F">
              <w:rPr>
                <w:rFonts w:ascii="Times New Roman" w:eastAsia="Times New Roman" w:hAnsi="Times New Roman" w:cs="Times New Roman"/>
                <w:color w:val="000000"/>
                <w:sz w:val="24"/>
                <w:szCs w:val="24"/>
              </w:rPr>
              <w:t xml:space="preserve"> </w:t>
            </w:r>
            <w:r w:rsidRPr="00F10033">
              <w:rPr>
                <w:rFonts w:ascii="Times New Roman" w:eastAsia="Times New Roman" w:hAnsi="Times New Roman" w:cs="Times New Roman"/>
                <w:color w:val="000000"/>
                <w:sz w:val="24"/>
                <w:szCs w:val="24"/>
              </w:rPr>
              <w:t>(°C)</w:t>
            </w:r>
          </w:p>
        </w:tc>
      </w:tr>
      <w:tr w:rsidR="00103AF5" w:rsidRPr="00F10033" w14:paraId="66419D9F" w14:textId="77777777" w:rsidTr="00C141CF">
        <w:trPr>
          <w:trHeight w:val="308"/>
        </w:trPr>
        <w:tc>
          <w:tcPr>
            <w:tcW w:w="2020" w:type="dxa"/>
            <w:tcBorders>
              <w:top w:val="nil"/>
              <w:left w:val="nil"/>
              <w:bottom w:val="nil"/>
              <w:right w:val="nil"/>
            </w:tcBorders>
            <w:shd w:val="clear" w:color="auto" w:fill="auto"/>
            <w:vAlign w:val="center"/>
            <w:hideMark/>
          </w:tcPr>
          <w:p w14:paraId="62EB8E9C"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2015</w:t>
            </w:r>
          </w:p>
        </w:tc>
        <w:tc>
          <w:tcPr>
            <w:tcW w:w="1980" w:type="dxa"/>
            <w:tcBorders>
              <w:top w:val="nil"/>
              <w:left w:val="nil"/>
              <w:bottom w:val="nil"/>
              <w:right w:val="nil"/>
            </w:tcBorders>
            <w:shd w:val="clear" w:color="auto" w:fill="auto"/>
            <w:vAlign w:val="center"/>
            <w:hideMark/>
          </w:tcPr>
          <w:p w14:paraId="01CAE26C"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+26 ± 1.6</w:t>
            </w:r>
          </w:p>
        </w:tc>
        <w:tc>
          <w:tcPr>
            <w:tcW w:w="1980" w:type="dxa"/>
            <w:tcBorders>
              <w:top w:val="nil"/>
              <w:left w:val="nil"/>
              <w:bottom w:val="nil"/>
              <w:right w:val="nil"/>
            </w:tcBorders>
            <w:shd w:val="clear" w:color="auto" w:fill="auto"/>
            <w:vAlign w:val="center"/>
            <w:hideMark/>
          </w:tcPr>
          <w:p w14:paraId="5F5D045A"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+7.6 ± 0.76</w:t>
            </w:r>
          </w:p>
        </w:tc>
        <w:tc>
          <w:tcPr>
            <w:tcW w:w="1980" w:type="dxa"/>
            <w:tcBorders>
              <w:top w:val="nil"/>
              <w:left w:val="nil"/>
              <w:bottom w:val="nil"/>
              <w:right w:val="nil"/>
            </w:tcBorders>
            <w:shd w:val="clear" w:color="auto" w:fill="auto"/>
            <w:vAlign w:val="center"/>
            <w:hideMark/>
          </w:tcPr>
          <w:p w14:paraId="0E7CD69A"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+0.44 ± 0.04</w:t>
            </w:r>
          </w:p>
        </w:tc>
      </w:tr>
      <w:tr w:rsidR="00103AF5" w:rsidRPr="00F10033" w14:paraId="1A6E34C6" w14:textId="77777777" w:rsidTr="00C141CF">
        <w:trPr>
          <w:trHeight w:val="308"/>
        </w:trPr>
        <w:tc>
          <w:tcPr>
            <w:tcW w:w="2020" w:type="dxa"/>
            <w:tcBorders>
              <w:top w:val="nil"/>
              <w:left w:val="nil"/>
              <w:bottom w:val="nil"/>
              <w:right w:val="nil"/>
            </w:tcBorders>
            <w:shd w:val="clear" w:color="auto" w:fill="auto"/>
            <w:vAlign w:val="center"/>
            <w:hideMark/>
          </w:tcPr>
          <w:p w14:paraId="7E48C821"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2016</w:t>
            </w:r>
          </w:p>
        </w:tc>
        <w:tc>
          <w:tcPr>
            <w:tcW w:w="1980" w:type="dxa"/>
            <w:tcBorders>
              <w:top w:val="nil"/>
              <w:left w:val="nil"/>
              <w:bottom w:val="nil"/>
              <w:right w:val="nil"/>
            </w:tcBorders>
            <w:shd w:val="clear" w:color="auto" w:fill="auto"/>
            <w:vAlign w:val="center"/>
            <w:hideMark/>
          </w:tcPr>
          <w:p w14:paraId="4932A55B"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+35 ± 1.7</w:t>
            </w:r>
          </w:p>
        </w:tc>
        <w:tc>
          <w:tcPr>
            <w:tcW w:w="1980" w:type="dxa"/>
            <w:tcBorders>
              <w:top w:val="nil"/>
              <w:left w:val="nil"/>
              <w:bottom w:val="nil"/>
              <w:right w:val="nil"/>
            </w:tcBorders>
            <w:shd w:val="clear" w:color="auto" w:fill="auto"/>
            <w:vAlign w:val="center"/>
            <w:hideMark/>
          </w:tcPr>
          <w:p w14:paraId="36FE6834"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+13 ± 1.7</w:t>
            </w:r>
          </w:p>
        </w:tc>
        <w:tc>
          <w:tcPr>
            <w:tcW w:w="1980" w:type="dxa"/>
            <w:tcBorders>
              <w:top w:val="nil"/>
              <w:left w:val="nil"/>
              <w:bottom w:val="nil"/>
              <w:right w:val="nil"/>
            </w:tcBorders>
            <w:shd w:val="clear" w:color="auto" w:fill="auto"/>
            <w:vAlign w:val="center"/>
            <w:hideMark/>
          </w:tcPr>
          <w:p w14:paraId="58F06C0E"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+0.58 ± 0.03</w:t>
            </w:r>
          </w:p>
        </w:tc>
      </w:tr>
      <w:tr w:rsidR="00103AF5" w:rsidRPr="00F10033" w14:paraId="6111D51E" w14:textId="77777777" w:rsidTr="00C141CF">
        <w:trPr>
          <w:trHeight w:val="308"/>
        </w:trPr>
        <w:tc>
          <w:tcPr>
            <w:tcW w:w="2020" w:type="dxa"/>
            <w:tcBorders>
              <w:top w:val="nil"/>
              <w:left w:val="nil"/>
              <w:bottom w:val="nil"/>
              <w:right w:val="nil"/>
            </w:tcBorders>
            <w:shd w:val="clear" w:color="auto" w:fill="auto"/>
            <w:vAlign w:val="center"/>
            <w:hideMark/>
          </w:tcPr>
          <w:p w14:paraId="10EB41AF"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2017</w:t>
            </w:r>
          </w:p>
        </w:tc>
        <w:tc>
          <w:tcPr>
            <w:tcW w:w="1980" w:type="dxa"/>
            <w:tcBorders>
              <w:top w:val="nil"/>
              <w:left w:val="nil"/>
              <w:bottom w:val="nil"/>
              <w:right w:val="nil"/>
            </w:tcBorders>
            <w:shd w:val="clear" w:color="auto" w:fill="auto"/>
            <w:vAlign w:val="center"/>
            <w:hideMark/>
          </w:tcPr>
          <w:p w14:paraId="2C43A16E"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+62 ± 5.5</w:t>
            </w:r>
          </w:p>
        </w:tc>
        <w:tc>
          <w:tcPr>
            <w:tcW w:w="1980" w:type="dxa"/>
            <w:tcBorders>
              <w:top w:val="nil"/>
              <w:left w:val="nil"/>
              <w:bottom w:val="nil"/>
              <w:right w:val="nil"/>
            </w:tcBorders>
            <w:shd w:val="clear" w:color="auto" w:fill="auto"/>
            <w:vAlign w:val="center"/>
            <w:hideMark/>
          </w:tcPr>
          <w:p w14:paraId="3994BE0C"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+9.0 ± 0.45</w:t>
            </w:r>
          </w:p>
        </w:tc>
        <w:tc>
          <w:tcPr>
            <w:tcW w:w="1980" w:type="dxa"/>
            <w:tcBorders>
              <w:top w:val="nil"/>
              <w:left w:val="nil"/>
              <w:bottom w:val="nil"/>
              <w:right w:val="nil"/>
            </w:tcBorders>
            <w:shd w:val="clear" w:color="auto" w:fill="auto"/>
            <w:vAlign w:val="center"/>
            <w:hideMark/>
          </w:tcPr>
          <w:p w14:paraId="1A4B97F8"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−0.21 ± 0.01</w:t>
            </w:r>
          </w:p>
        </w:tc>
      </w:tr>
      <w:tr w:rsidR="00103AF5" w:rsidRPr="00F10033" w14:paraId="03BC9F87" w14:textId="77777777" w:rsidTr="00C141CF">
        <w:trPr>
          <w:trHeight w:val="308"/>
        </w:trPr>
        <w:tc>
          <w:tcPr>
            <w:tcW w:w="2020" w:type="dxa"/>
            <w:tcBorders>
              <w:top w:val="nil"/>
              <w:left w:val="nil"/>
              <w:bottom w:val="nil"/>
              <w:right w:val="nil"/>
            </w:tcBorders>
            <w:shd w:val="clear" w:color="auto" w:fill="auto"/>
            <w:vAlign w:val="center"/>
            <w:hideMark/>
          </w:tcPr>
          <w:p w14:paraId="0429B971"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2018</w:t>
            </w:r>
          </w:p>
        </w:tc>
        <w:tc>
          <w:tcPr>
            <w:tcW w:w="1980" w:type="dxa"/>
            <w:tcBorders>
              <w:top w:val="nil"/>
              <w:left w:val="nil"/>
              <w:bottom w:val="nil"/>
              <w:right w:val="nil"/>
            </w:tcBorders>
            <w:shd w:val="clear" w:color="auto" w:fill="auto"/>
            <w:vAlign w:val="center"/>
            <w:hideMark/>
          </w:tcPr>
          <w:p w14:paraId="4FBBD9D9"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−3.4 ± 0.01</w:t>
            </w:r>
          </w:p>
        </w:tc>
        <w:tc>
          <w:tcPr>
            <w:tcW w:w="1980" w:type="dxa"/>
            <w:tcBorders>
              <w:top w:val="nil"/>
              <w:left w:val="nil"/>
              <w:bottom w:val="nil"/>
              <w:right w:val="nil"/>
            </w:tcBorders>
            <w:shd w:val="clear" w:color="auto" w:fill="auto"/>
            <w:vAlign w:val="center"/>
            <w:hideMark/>
          </w:tcPr>
          <w:p w14:paraId="74A143B4"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+12 ± 0.06</w:t>
            </w:r>
          </w:p>
        </w:tc>
        <w:tc>
          <w:tcPr>
            <w:tcW w:w="1980" w:type="dxa"/>
            <w:tcBorders>
              <w:top w:val="nil"/>
              <w:left w:val="nil"/>
              <w:bottom w:val="nil"/>
              <w:right w:val="nil"/>
            </w:tcBorders>
            <w:shd w:val="clear" w:color="auto" w:fill="auto"/>
            <w:vAlign w:val="center"/>
            <w:hideMark/>
          </w:tcPr>
          <w:p w14:paraId="69AF437A"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rPr>
              <w:t>0</w:t>
            </w:r>
            <w:r w:rsidRPr="00F10033">
              <w:rPr>
                <w:rFonts w:ascii="Times New Roman" w:eastAsia="Times New Roman" w:hAnsi="Times New Roman" w:cs="Times New Roman"/>
                <w:color w:val="000000"/>
                <w:sz w:val="24"/>
                <w:szCs w:val="24"/>
              </w:rPr>
              <w:t xml:space="preserve"> ± 0.01</w:t>
            </w:r>
          </w:p>
        </w:tc>
      </w:tr>
      <w:tr w:rsidR="00103AF5" w:rsidRPr="00F10033" w14:paraId="397C75F3" w14:textId="77777777" w:rsidTr="00C141CF">
        <w:trPr>
          <w:trHeight w:val="315"/>
        </w:trPr>
        <w:tc>
          <w:tcPr>
            <w:tcW w:w="2020" w:type="dxa"/>
            <w:tcBorders>
              <w:top w:val="nil"/>
              <w:left w:val="nil"/>
              <w:bottom w:val="single" w:sz="8" w:space="0" w:color="auto"/>
              <w:right w:val="nil"/>
            </w:tcBorders>
            <w:shd w:val="clear" w:color="auto" w:fill="auto"/>
            <w:vAlign w:val="center"/>
            <w:hideMark/>
          </w:tcPr>
          <w:p w14:paraId="7640A959"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2019</w:t>
            </w:r>
          </w:p>
        </w:tc>
        <w:tc>
          <w:tcPr>
            <w:tcW w:w="1980" w:type="dxa"/>
            <w:tcBorders>
              <w:top w:val="nil"/>
              <w:left w:val="nil"/>
              <w:bottom w:val="single" w:sz="8" w:space="0" w:color="auto"/>
              <w:right w:val="nil"/>
            </w:tcBorders>
            <w:shd w:val="clear" w:color="auto" w:fill="auto"/>
            <w:vAlign w:val="center"/>
            <w:hideMark/>
          </w:tcPr>
          <w:p w14:paraId="29ADBB16"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+43 ± 2.6</w:t>
            </w:r>
          </w:p>
        </w:tc>
        <w:tc>
          <w:tcPr>
            <w:tcW w:w="1980" w:type="dxa"/>
            <w:tcBorders>
              <w:top w:val="nil"/>
              <w:left w:val="nil"/>
              <w:bottom w:val="single" w:sz="8" w:space="0" w:color="auto"/>
              <w:right w:val="nil"/>
            </w:tcBorders>
            <w:shd w:val="clear" w:color="auto" w:fill="auto"/>
            <w:vAlign w:val="center"/>
            <w:hideMark/>
          </w:tcPr>
          <w:p w14:paraId="08EF094C"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+7.7 ± 0.29</w:t>
            </w:r>
          </w:p>
        </w:tc>
        <w:tc>
          <w:tcPr>
            <w:tcW w:w="1980" w:type="dxa"/>
            <w:tcBorders>
              <w:top w:val="nil"/>
              <w:left w:val="nil"/>
              <w:bottom w:val="single" w:sz="8" w:space="0" w:color="auto"/>
              <w:right w:val="nil"/>
            </w:tcBorders>
            <w:shd w:val="clear" w:color="auto" w:fill="auto"/>
            <w:vAlign w:val="center"/>
            <w:hideMark/>
          </w:tcPr>
          <w:p w14:paraId="554454F7" w14:textId="77777777" w:rsidR="00103AF5" w:rsidRPr="00F10033" w:rsidRDefault="00103AF5" w:rsidP="00C141CF">
            <w:pPr>
              <w:spacing w:after="0" w:line="240" w:lineRule="auto"/>
              <w:rPr>
                <w:rFonts w:ascii="Times New Roman" w:eastAsia="Times New Roman" w:hAnsi="Times New Roman" w:cs="Times New Roman"/>
                <w:color w:val="000000"/>
                <w:sz w:val="24"/>
                <w:szCs w:val="24"/>
              </w:rPr>
            </w:pPr>
            <w:r w:rsidRPr="00F10033">
              <w:rPr>
                <w:rFonts w:ascii="Times New Roman" w:eastAsia="Times New Roman" w:hAnsi="Times New Roman" w:cs="Times New Roman"/>
                <w:color w:val="000000"/>
                <w:sz w:val="24"/>
                <w:szCs w:val="24"/>
              </w:rPr>
              <w:t>−0.91 ± 0.02</w:t>
            </w:r>
          </w:p>
        </w:tc>
      </w:tr>
    </w:tbl>
    <w:p w14:paraId="76C5CC88" w14:textId="77777777" w:rsidR="00103AF5" w:rsidRDefault="00103AF5" w:rsidP="00103AF5">
      <w:pPr>
        <w:snapToGrid w:val="0"/>
        <w:spacing w:after="0" w:line="480" w:lineRule="auto"/>
        <w:rPr>
          <w:rFonts w:ascii="Times New Roman" w:hAnsi="Times New Roman" w:cs="Times New Roman"/>
          <w:bCs/>
          <w:sz w:val="24"/>
          <w:szCs w:val="24"/>
        </w:rPr>
      </w:pPr>
    </w:p>
    <w:p w14:paraId="1D4474C5" w14:textId="77777777" w:rsidR="00103AF5" w:rsidRPr="00763B8D" w:rsidRDefault="00103AF5" w:rsidP="00103AF5">
      <w:pPr>
        <w:snapToGri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3.2 Dependence of </w:t>
      </w:r>
      <w:r w:rsidRPr="004F3E51">
        <w:rPr>
          <w:rFonts w:ascii="Times New Roman" w:hAnsi="Times New Roman" w:cs="Times New Roman"/>
          <w:b/>
          <w:sz w:val="24"/>
          <w:szCs w:val="24"/>
        </w:rPr>
        <w:t>GPP anomalies</w:t>
      </w:r>
      <w:r>
        <w:rPr>
          <w:rFonts w:ascii="Times New Roman" w:hAnsi="Times New Roman" w:cs="Times New Roman"/>
          <w:b/>
          <w:sz w:val="24"/>
          <w:szCs w:val="24"/>
        </w:rPr>
        <w:t xml:space="preserve"> on plant functional type</w:t>
      </w:r>
    </w:p>
    <w:p w14:paraId="66406AAD" w14:textId="77777777" w:rsidR="00103AF5" w:rsidRDefault="00103AF5" w:rsidP="00103AF5">
      <w:pPr>
        <w:snapToGri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positive GPP anomaly was observed in a</w:t>
      </w:r>
      <w:r w:rsidRPr="004F3E51">
        <w:rPr>
          <w:rFonts w:ascii="Times New Roman" w:hAnsi="Times New Roman" w:cs="Times New Roman"/>
          <w:sz w:val="24"/>
          <w:szCs w:val="24"/>
        </w:rPr>
        <w:t xml:space="preserve">ll ecosystems with short vegetation (grassland, savannah and shrubland) and </w:t>
      </w:r>
      <w:r>
        <w:rPr>
          <w:rFonts w:ascii="Times New Roman" w:hAnsi="Times New Roman" w:cs="Times New Roman"/>
          <w:sz w:val="24"/>
          <w:szCs w:val="24"/>
        </w:rPr>
        <w:t>eight</w:t>
      </w:r>
      <w:r w:rsidRPr="004F3E51">
        <w:rPr>
          <w:rFonts w:ascii="Times New Roman" w:hAnsi="Times New Roman" w:cs="Times New Roman"/>
          <w:sz w:val="24"/>
          <w:szCs w:val="24"/>
        </w:rPr>
        <w:t xml:space="preserve"> out of </w:t>
      </w:r>
      <w:r>
        <w:rPr>
          <w:rFonts w:ascii="Times New Roman" w:hAnsi="Times New Roman" w:cs="Times New Roman"/>
          <w:sz w:val="24"/>
          <w:szCs w:val="24"/>
        </w:rPr>
        <w:t>11</w:t>
      </w:r>
      <w:r w:rsidRPr="004F3E51">
        <w:rPr>
          <w:rFonts w:ascii="Times New Roman" w:hAnsi="Times New Roman" w:cs="Times New Roman"/>
          <w:sz w:val="24"/>
          <w:szCs w:val="24"/>
        </w:rPr>
        <w:t xml:space="preserve"> deciduous broadleaf </w:t>
      </w:r>
      <w:r>
        <w:rPr>
          <w:rFonts w:ascii="Times New Roman" w:hAnsi="Times New Roman" w:cs="Times New Roman"/>
          <w:sz w:val="24"/>
          <w:szCs w:val="24"/>
        </w:rPr>
        <w:t xml:space="preserve">(DBFs) or mixed forests </w:t>
      </w:r>
      <w:r w:rsidRPr="004F3E51">
        <w:rPr>
          <w:rFonts w:ascii="Times New Roman" w:hAnsi="Times New Roman" w:cs="Times New Roman"/>
          <w:sz w:val="24"/>
          <w:szCs w:val="24"/>
        </w:rPr>
        <w:t>(</w:t>
      </w:r>
      <w:r>
        <w:rPr>
          <w:rFonts w:ascii="Times New Roman" w:hAnsi="Times New Roman" w:cs="Times New Roman"/>
          <w:sz w:val="24"/>
          <w:szCs w:val="24"/>
        </w:rPr>
        <w:t>MFs</w:t>
      </w:r>
      <w:r w:rsidRPr="004F3E51">
        <w:rPr>
          <w:rFonts w:ascii="Times New Roman" w:hAnsi="Times New Roman" w:cs="Times New Roman"/>
          <w:sz w:val="24"/>
          <w:szCs w:val="24"/>
        </w:rPr>
        <w:t>).</w:t>
      </w:r>
      <w:r>
        <w:rPr>
          <w:rFonts w:ascii="Times New Roman" w:hAnsi="Times New Roman" w:cs="Times New Roman"/>
          <w:sz w:val="24"/>
          <w:szCs w:val="24"/>
        </w:rPr>
        <w:t xml:space="preserve"> On the other hand, the majority (75%) of evergreen needleleaf forests (ENFs) (9/12 sites) and three DBFs exhibited a negative GPP anomaly. Meanwhile, the s</w:t>
      </w:r>
      <w:r w:rsidRPr="004F3E51">
        <w:rPr>
          <w:rFonts w:ascii="Times New Roman" w:hAnsi="Times New Roman" w:cs="Times New Roman"/>
          <w:sz w:val="24"/>
          <w:szCs w:val="24"/>
        </w:rPr>
        <w:t>ites with no significant change</w:t>
      </w:r>
      <w:r>
        <w:rPr>
          <w:rFonts w:ascii="Times New Roman" w:hAnsi="Times New Roman" w:cs="Times New Roman"/>
          <w:sz w:val="24"/>
          <w:szCs w:val="24"/>
        </w:rPr>
        <w:t xml:space="preserve"> in GPP,</w:t>
      </w:r>
      <w:r w:rsidRPr="004F3E51">
        <w:rPr>
          <w:rFonts w:ascii="Times New Roman" w:hAnsi="Times New Roman" w:cs="Times New Roman"/>
          <w:sz w:val="24"/>
          <w:szCs w:val="24"/>
        </w:rPr>
        <w:t xml:space="preserve"> </w:t>
      </w:r>
      <w:r>
        <w:rPr>
          <w:rFonts w:ascii="Times New Roman" w:hAnsi="Times New Roman" w:cs="Times New Roman"/>
          <w:sz w:val="24"/>
          <w:szCs w:val="24"/>
        </w:rPr>
        <w:t>ranging from</w:t>
      </w:r>
      <w:r w:rsidRPr="004F3E51">
        <w:rPr>
          <w:rFonts w:ascii="Times New Roman" w:hAnsi="Times New Roman" w:cs="Times New Roman"/>
          <w:sz w:val="24"/>
          <w:szCs w:val="24"/>
        </w:rPr>
        <w:t xml:space="preserve"> −7% to +4.1%</w:t>
      </w:r>
      <w:r>
        <w:rPr>
          <w:rFonts w:ascii="Times New Roman" w:hAnsi="Times New Roman" w:cs="Times New Roman"/>
          <w:sz w:val="24"/>
          <w:szCs w:val="24"/>
        </w:rPr>
        <w:t xml:space="preserve">, </w:t>
      </w:r>
      <w:r w:rsidRPr="004F3E51">
        <w:rPr>
          <w:rFonts w:ascii="Times New Roman" w:hAnsi="Times New Roman" w:cs="Times New Roman"/>
          <w:sz w:val="24"/>
          <w:szCs w:val="24"/>
        </w:rPr>
        <w:t>include</w:t>
      </w:r>
      <w:r>
        <w:rPr>
          <w:rFonts w:ascii="Times New Roman" w:hAnsi="Times New Roman" w:cs="Times New Roman"/>
          <w:sz w:val="24"/>
          <w:szCs w:val="24"/>
        </w:rPr>
        <w:t>d</w:t>
      </w:r>
      <w:r w:rsidRPr="004F3E51">
        <w:rPr>
          <w:rFonts w:ascii="Times New Roman" w:hAnsi="Times New Roman" w:cs="Times New Roman"/>
          <w:sz w:val="24"/>
          <w:szCs w:val="24"/>
        </w:rPr>
        <w:t xml:space="preserve"> all </w:t>
      </w:r>
      <w:r>
        <w:rPr>
          <w:rFonts w:ascii="Times New Roman" w:hAnsi="Times New Roman" w:cs="Times New Roman"/>
          <w:sz w:val="24"/>
          <w:szCs w:val="24"/>
        </w:rPr>
        <w:t xml:space="preserve">four </w:t>
      </w:r>
      <w:r w:rsidRPr="004F3E51">
        <w:rPr>
          <w:rFonts w:ascii="Times New Roman" w:hAnsi="Times New Roman" w:cs="Times New Roman"/>
          <w:sz w:val="24"/>
          <w:szCs w:val="24"/>
        </w:rPr>
        <w:t xml:space="preserve">wetlands (WETs), three ENFs, one grassland </w:t>
      </w:r>
      <w:r>
        <w:rPr>
          <w:rFonts w:ascii="Times New Roman" w:hAnsi="Times New Roman" w:cs="Times New Roman"/>
          <w:sz w:val="24"/>
          <w:szCs w:val="24"/>
        </w:rPr>
        <w:t xml:space="preserve">site </w:t>
      </w:r>
      <w:r w:rsidRPr="004F3E51">
        <w:rPr>
          <w:rFonts w:ascii="Times New Roman" w:hAnsi="Times New Roman" w:cs="Times New Roman"/>
          <w:sz w:val="24"/>
          <w:szCs w:val="24"/>
        </w:rPr>
        <w:t xml:space="preserve">(GRA), one mixed forest (MF) and one open shrubland </w:t>
      </w:r>
      <w:r>
        <w:rPr>
          <w:rFonts w:ascii="Times New Roman" w:hAnsi="Times New Roman" w:cs="Times New Roman"/>
          <w:sz w:val="24"/>
          <w:szCs w:val="24"/>
        </w:rPr>
        <w:t xml:space="preserve">site </w:t>
      </w:r>
      <w:r w:rsidRPr="004F3E51">
        <w:rPr>
          <w:rFonts w:ascii="Times New Roman" w:hAnsi="Times New Roman" w:cs="Times New Roman"/>
          <w:sz w:val="24"/>
          <w:szCs w:val="24"/>
        </w:rPr>
        <w:t>(OSH) (</w:t>
      </w:r>
      <w:r>
        <w:rPr>
          <w:rFonts w:ascii="Times New Roman" w:hAnsi="Times New Roman" w:cs="Times New Roman"/>
          <w:sz w:val="24"/>
          <w:szCs w:val="24"/>
        </w:rPr>
        <w:t>Table S2, Fig. S1</w:t>
      </w:r>
      <w:r w:rsidRPr="004F3E51">
        <w:rPr>
          <w:rFonts w:ascii="Times New Roman" w:hAnsi="Times New Roman" w:cs="Times New Roman"/>
          <w:sz w:val="24"/>
          <w:szCs w:val="24"/>
        </w:rPr>
        <w:t>).</w:t>
      </w:r>
      <w:r>
        <w:rPr>
          <w:rFonts w:ascii="Times New Roman" w:hAnsi="Times New Roman" w:cs="Times New Roman"/>
          <w:sz w:val="24"/>
          <w:szCs w:val="24"/>
        </w:rPr>
        <w:t xml:space="preserve"> </w:t>
      </w:r>
    </w:p>
    <w:p w14:paraId="50496921" w14:textId="77777777" w:rsidR="00103AF5" w:rsidRPr="00D768F8" w:rsidRDefault="00103AF5" w:rsidP="00103AF5">
      <w:pPr>
        <w:snapToGrid w:val="0"/>
        <w:spacing w:after="0" w:line="480" w:lineRule="auto"/>
        <w:ind w:firstLine="720"/>
        <w:rPr>
          <w:rFonts w:ascii="Times New Roman" w:hAnsi="Times New Roman" w:cs="Times New Roman"/>
          <w:sz w:val="24"/>
          <w:szCs w:val="24"/>
        </w:rPr>
      </w:pPr>
      <w:r w:rsidRPr="00B525F6">
        <w:rPr>
          <w:rFonts w:ascii="Times New Roman" w:hAnsi="Times New Roman" w:cs="Times New Roman"/>
          <w:sz w:val="24"/>
          <w:szCs w:val="24"/>
        </w:rPr>
        <w:t>The midday Bowen ratio</w:t>
      </w:r>
      <w:r>
        <w:rPr>
          <w:rFonts w:ascii="Times New Roman" w:hAnsi="Times New Roman" w:cs="Times New Roman"/>
          <w:sz w:val="24"/>
          <w:szCs w:val="24"/>
        </w:rPr>
        <w:t xml:space="preserve"> (β), </w:t>
      </w:r>
      <w:r>
        <w:rPr>
          <w:rFonts w:ascii="Times New Roman" w:eastAsia="Times New Roman" w:hAnsi="Times New Roman" w:cs="Times New Roman"/>
          <w:sz w:val="24"/>
          <w:szCs w:val="24"/>
        </w:rPr>
        <w:t>a ratio</w:t>
      </w:r>
      <w:r w:rsidRPr="004F3E51">
        <w:rPr>
          <w:rFonts w:ascii="Times New Roman" w:eastAsia="Times New Roman" w:hAnsi="Times New Roman" w:cs="Times New Roman"/>
          <w:sz w:val="24"/>
          <w:szCs w:val="24"/>
        </w:rPr>
        <w:t xml:space="preserve"> of sensible heat flux to latent heat flux</w:t>
      </w:r>
      <w:r>
        <w:rPr>
          <w:rFonts w:ascii="Times New Roman" w:eastAsia="Times New Roman" w:hAnsi="Times New Roman" w:cs="Times New Roman"/>
          <w:sz w:val="24"/>
          <w:szCs w:val="24"/>
        </w:rPr>
        <w:t>, which is directly influenced by</w:t>
      </w:r>
      <w:r w:rsidRPr="004F3E51">
        <w:rPr>
          <w:rFonts w:ascii="Times New Roman" w:eastAsia="Times New Roman" w:hAnsi="Times New Roman" w:cs="Times New Roman"/>
          <w:sz w:val="24"/>
          <w:szCs w:val="24"/>
        </w:rPr>
        <w:t xml:space="preserve"> stomatal </w:t>
      </w:r>
      <w:r>
        <w:rPr>
          <w:rFonts w:ascii="Times New Roman" w:eastAsia="Times New Roman" w:hAnsi="Times New Roman" w:cs="Times New Roman"/>
          <w:sz w:val="24"/>
          <w:szCs w:val="24"/>
        </w:rPr>
        <w:t xml:space="preserve">conductance </w:t>
      </w:r>
      <w:r w:rsidRPr="004F3E51">
        <w:rPr>
          <w:rFonts w:ascii="Times New Roman" w:eastAsia="Times New Roman" w:hAnsi="Times New Roman" w:cs="Times New Roman"/>
          <w:sz w:val="24"/>
          <w:szCs w:val="24"/>
        </w:rPr>
        <w:t>in a given canopy</w:t>
      </w:r>
      <w:r>
        <w:rPr>
          <w:rFonts w:ascii="Times New Roman" w:hAnsi="Times New Roman" w:cs="Times New Roman"/>
          <w:sz w:val="24"/>
          <w:szCs w:val="24"/>
        </w:rPr>
        <w:t xml:space="preserve">, </w:t>
      </w:r>
      <w:r w:rsidRPr="00B525F6">
        <w:rPr>
          <w:rFonts w:ascii="Times New Roman" w:hAnsi="Times New Roman" w:cs="Times New Roman"/>
          <w:sz w:val="24"/>
          <w:szCs w:val="24"/>
        </w:rPr>
        <w:t xml:space="preserve">remained </w:t>
      </w:r>
      <w:r>
        <w:rPr>
          <w:rFonts w:ascii="Times New Roman" w:hAnsi="Times New Roman" w:cs="Times New Roman"/>
          <w:sz w:val="24"/>
          <w:szCs w:val="24"/>
        </w:rPr>
        <w:t xml:space="preserve">almost </w:t>
      </w:r>
      <w:r w:rsidRPr="00B525F6">
        <w:rPr>
          <w:rFonts w:ascii="Times New Roman" w:hAnsi="Times New Roman" w:cs="Times New Roman"/>
          <w:sz w:val="24"/>
          <w:szCs w:val="24"/>
        </w:rPr>
        <w:t xml:space="preserve">unchanged in </w:t>
      </w:r>
      <w:r>
        <w:rPr>
          <w:rFonts w:ascii="Times New Roman" w:hAnsi="Times New Roman" w:cs="Times New Roman"/>
          <w:sz w:val="24"/>
          <w:szCs w:val="24"/>
        </w:rPr>
        <w:t>grassland (</w:t>
      </w:r>
      <w:r w:rsidRPr="00B525F6">
        <w:rPr>
          <w:rFonts w:ascii="Times New Roman" w:hAnsi="Times New Roman" w:cs="Times New Roman"/>
          <w:sz w:val="24"/>
          <w:szCs w:val="24"/>
        </w:rPr>
        <w:t>GRA</w:t>
      </w:r>
      <w:r>
        <w:rPr>
          <w:rFonts w:ascii="Times New Roman" w:hAnsi="Times New Roman" w:cs="Times New Roman"/>
          <w:sz w:val="24"/>
          <w:szCs w:val="24"/>
        </w:rPr>
        <w:t>)</w:t>
      </w:r>
      <w:r w:rsidRPr="00B525F6">
        <w:rPr>
          <w:rFonts w:ascii="Times New Roman" w:hAnsi="Times New Roman" w:cs="Times New Roman"/>
          <w:sz w:val="24"/>
          <w:szCs w:val="24"/>
        </w:rPr>
        <w:t xml:space="preserve">, savannah (SAV) and </w:t>
      </w:r>
      <w:r>
        <w:rPr>
          <w:rFonts w:ascii="Times New Roman" w:hAnsi="Times New Roman" w:cs="Times New Roman"/>
          <w:sz w:val="24"/>
          <w:szCs w:val="24"/>
        </w:rPr>
        <w:t>open shrubland (</w:t>
      </w:r>
      <w:r w:rsidRPr="00B525F6">
        <w:rPr>
          <w:rFonts w:ascii="Times New Roman" w:hAnsi="Times New Roman" w:cs="Times New Roman"/>
          <w:sz w:val="24"/>
          <w:szCs w:val="24"/>
        </w:rPr>
        <w:t>OSH</w:t>
      </w:r>
      <w:r>
        <w:rPr>
          <w:rFonts w:ascii="Times New Roman" w:hAnsi="Times New Roman" w:cs="Times New Roman"/>
          <w:sz w:val="24"/>
          <w:szCs w:val="24"/>
        </w:rPr>
        <w:t>) sites,</w:t>
      </w:r>
      <w:r w:rsidRPr="00B525F6">
        <w:rPr>
          <w:rFonts w:ascii="Times New Roman" w:hAnsi="Times New Roman" w:cs="Times New Roman"/>
          <w:sz w:val="24"/>
          <w:szCs w:val="24"/>
        </w:rPr>
        <w:t xml:space="preserve"> and was less than 1.0 in 2020. </w:t>
      </w:r>
      <w:r>
        <w:rPr>
          <w:rFonts w:ascii="Times New Roman" w:hAnsi="Times New Roman" w:cs="Times New Roman"/>
          <w:sz w:val="24"/>
          <w:szCs w:val="24"/>
        </w:rPr>
        <w:t xml:space="preserve">In </w:t>
      </w:r>
      <w:r w:rsidRPr="00B525F6">
        <w:rPr>
          <w:rFonts w:ascii="Times New Roman" w:hAnsi="Times New Roman" w:cs="Times New Roman"/>
          <w:sz w:val="24"/>
          <w:szCs w:val="24"/>
        </w:rPr>
        <w:t>forests (DBF, EBF, ENF and MF)</w:t>
      </w:r>
      <w:r>
        <w:rPr>
          <w:rFonts w:ascii="Times New Roman" w:hAnsi="Times New Roman" w:cs="Times New Roman"/>
          <w:sz w:val="24"/>
          <w:szCs w:val="24"/>
        </w:rPr>
        <w:t xml:space="preserve">, there was a stronger </w:t>
      </w:r>
      <w:r w:rsidRPr="00B525F6">
        <w:rPr>
          <w:rFonts w:ascii="Times New Roman" w:hAnsi="Times New Roman" w:cs="Times New Roman"/>
          <w:sz w:val="24"/>
          <w:szCs w:val="24"/>
        </w:rPr>
        <w:t>negative relationship</w:t>
      </w:r>
      <w:r>
        <w:rPr>
          <w:rFonts w:ascii="Times New Roman" w:hAnsi="Times New Roman" w:cs="Times New Roman"/>
          <w:sz w:val="24"/>
          <w:szCs w:val="24"/>
        </w:rPr>
        <w:t xml:space="preserve"> </w:t>
      </w:r>
      <w:r w:rsidRPr="00B525F6">
        <w:rPr>
          <w:rFonts w:ascii="Times New Roman" w:hAnsi="Times New Roman" w:cs="Times New Roman"/>
          <w:sz w:val="24"/>
          <w:szCs w:val="24"/>
        </w:rPr>
        <w:t xml:space="preserve">between the anomalies in GPP and </w:t>
      </w:r>
      <w:r>
        <w:rPr>
          <w:rFonts w:ascii="Times New Roman" w:hAnsi="Times New Roman" w:cs="Times New Roman"/>
          <w:sz w:val="24"/>
          <w:szCs w:val="24"/>
        </w:rPr>
        <w:t>β</w:t>
      </w:r>
      <w:r w:rsidRPr="00B525F6">
        <w:rPr>
          <w:rFonts w:ascii="Times New Roman" w:hAnsi="Times New Roman" w:cs="Times New Roman"/>
          <w:sz w:val="24"/>
          <w:szCs w:val="24"/>
        </w:rPr>
        <w:t xml:space="preserve"> (Fig. 4), suggesting that the </w:t>
      </w:r>
      <w:r>
        <w:rPr>
          <w:rFonts w:ascii="Times New Roman" w:hAnsi="Times New Roman" w:cs="Times New Roman"/>
          <w:sz w:val="24"/>
          <w:szCs w:val="24"/>
        </w:rPr>
        <w:t xml:space="preserve">2020 </w:t>
      </w:r>
      <w:r w:rsidRPr="00B525F6">
        <w:rPr>
          <w:rFonts w:ascii="Times New Roman" w:hAnsi="Times New Roman" w:cs="Times New Roman"/>
          <w:sz w:val="24"/>
          <w:szCs w:val="24"/>
        </w:rPr>
        <w:t xml:space="preserve">spring GPP in </w:t>
      </w:r>
      <w:r>
        <w:rPr>
          <w:rFonts w:ascii="Times New Roman" w:hAnsi="Times New Roman" w:cs="Times New Roman"/>
          <w:sz w:val="24"/>
          <w:szCs w:val="24"/>
        </w:rPr>
        <w:t xml:space="preserve">these ecosystems </w:t>
      </w:r>
      <w:r w:rsidRPr="00B525F6">
        <w:rPr>
          <w:rFonts w:ascii="Times New Roman" w:hAnsi="Times New Roman" w:cs="Times New Roman"/>
          <w:sz w:val="24"/>
          <w:szCs w:val="24"/>
        </w:rPr>
        <w:t xml:space="preserve">might </w:t>
      </w:r>
      <w:r>
        <w:rPr>
          <w:rFonts w:ascii="Times New Roman" w:hAnsi="Times New Roman" w:cs="Times New Roman"/>
          <w:sz w:val="24"/>
          <w:szCs w:val="24"/>
        </w:rPr>
        <w:t>have been impacted by</w:t>
      </w:r>
      <w:r w:rsidRPr="00B525F6">
        <w:rPr>
          <w:rFonts w:ascii="Times New Roman" w:hAnsi="Times New Roman" w:cs="Times New Roman"/>
          <w:sz w:val="24"/>
          <w:szCs w:val="24"/>
        </w:rPr>
        <w:t xml:space="preserve"> atmospheric or soil dryness.</w:t>
      </w:r>
      <w:r>
        <w:rPr>
          <w:rFonts w:ascii="Times New Roman" w:hAnsi="Times New Roman" w:cs="Times New Roman"/>
          <w:sz w:val="24"/>
          <w:szCs w:val="24"/>
        </w:rPr>
        <w:t xml:space="preserve">  </w:t>
      </w:r>
    </w:p>
    <w:p w14:paraId="2B53019D" w14:textId="77777777" w:rsidR="00103AF5" w:rsidRPr="002B1F6A" w:rsidRDefault="00103AF5" w:rsidP="00103AF5">
      <w:pPr>
        <w:snapToGrid w:val="0"/>
        <w:spacing w:after="0" w:line="480" w:lineRule="auto"/>
        <w:rPr>
          <w:rFonts w:ascii="Times New Roman" w:hAnsi="Times New Roman" w:cs="Times New Roman"/>
          <w:bCs/>
          <w:sz w:val="24"/>
          <w:szCs w:val="24"/>
        </w:rPr>
      </w:pPr>
      <w:r>
        <w:rPr>
          <w:noProof/>
        </w:rPr>
        <w:lastRenderedPageBreak/>
        <w:drawing>
          <wp:inline distT="0" distB="0" distL="0" distR="0" wp14:anchorId="331A5D88" wp14:editId="1582E6A7">
            <wp:extent cx="5760720" cy="4852035"/>
            <wp:effectExtent l="0" t="0" r="0" b="5715"/>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0"/>
                    <a:stretch>
                      <a:fillRect/>
                    </a:stretch>
                  </pic:blipFill>
                  <pic:spPr>
                    <a:xfrm>
                      <a:off x="0" y="0"/>
                      <a:ext cx="5760720" cy="4852035"/>
                    </a:xfrm>
                    <a:prstGeom prst="rect">
                      <a:avLst/>
                    </a:prstGeom>
                  </pic:spPr>
                </pic:pic>
              </a:graphicData>
            </a:graphic>
          </wp:inline>
        </w:drawing>
      </w:r>
    </w:p>
    <w:p w14:paraId="2A71A9B8" w14:textId="77777777" w:rsidR="00103AF5" w:rsidRDefault="00103AF5" w:rsidP="00103AF5">
      <w:pPr>
        <w:snapToGrid w:val="0"/>
        <w:spacing w:after="0" w:line="480" w:lineRule="auto"/>
        <w:rPr>
          <w:rFonts w:ascii="Times New Roman" w:hAnsi="Times New Roman" w:cs="Times New Roman"/>
          <w:bCs/>
          <w:sz w:val="24"/>
          <w:szCs w:val="24"/>
          <w:lang w:val="en-US"/>
        </w:rPr>
      </w:pPr>
      <w:r w:rsidRPr="0094660C">
        <w:rPr>
          <w:rFonts w:ascii="Times New Roman" w:hAnsi="Times New Roman" w:cs="Times New Roman"/>
          <w:b/>
          <w:sz w:val="24"/>
          <w:szCs w:val="24"/>
          <w:lang w:val="en-US"/>
        </w:rPr>
        <w:t>Fig. 4.</w:t>
      </w:r>
      <w:r w:rsidRPr="00E9318A">
        <w:rPr>
          <w:rFonts w:ascii="Times New Roman" w:hAnsi="Times New Roman" w:cs="Times New Roman"/>
          <w:bCs/>
          <w:sz w:val="24"/>
          <w:szCs w:val="24"/>
          <w:lang w:val="en-US"/>
        </w:rPr>
        <w:t xml:space="preserve"> Relationship between anomalies in gross primary production (</w:t>
      </w:r>
      <w:r w:rsidRPr="00942504">
        <w:rPr>
          <w:rFonts w:ascii="Times New Roman" w:hAnsi="Times New Roman" w:cs="Times New Roman"/>
          <w:bCs/>
          <w:sz w:val="24"/>
          <w:szCs w:val="24"/>
          <w:lang w:val="en-US"/>
        </w:rPr>
        <w:t>∆</w:t>
      </w:r>
      <w:r w:rsidRPr="00E9318A">
        <w:rPr>
          <w:rFonts w:ascii="Times New Roman" w:hAnsi="Times New Roman" w:cs="Times New Roman"/>
          <w:bCs/>
          <w:sz w:val="24"/>
          <w:szCs w:val="24"/>
          <w:lang w:val="en-US"/>
        </w:rPr>
        <w:t>GPP) and anomalies in Bowen ratio (</w:t>
      </w:r>
      <w:r w:rsidRPr="00942504">
        <w:rPr>
          <w:rFonts w:ascii="Times New Roman" w:hAnsi="Times New Roman" w:cs="Times New Roman"/>
          <w:bCs/>
          <w:sz w:val="24"/>
          <w:szCs w:val="24"/>
          <w:lang w:val="en-US"/>
        </w:rPr>
        <w:t>∆</w:t>
      </w:r>
      <w:r w:rsidRPr="00E9318A">
        <w:rPr>
          <w:rFonts w:ascii="Times New Roman" w:hAnsi="Times New Roman" w:cs="Times New Roman"/>
          <w:bCs/>
          <w:sz w:val="24"/>
          <w:szCs w:val="24"/>
          <w:lang w:val="en-US"/>
        </w:rPr>
        <w:t>β</w:t>
      </w:r>
      <w:r>
        <w:rPr>
          <w:rFonts w:ascii="Times New Roman" w:hAnsi="Times New Roman" w:cs="Times New Roman"/>
          <w:bCs/>
          <w:sz w:val="24"/>
          <w:szCs w:val="24"/>
          <w:lang w:val="en-US"/>
        </w:rPr>
        <w:t xml:space="preserve">) across study sites from four classes of plant functional types (PFTs) during the spring of 2020, compared with the reference period. Solid lines represent linear regression lines of each PFT class. </w:t>
      </w:r>
      <w:r w:rsidRPr="00B921E0">
        <w:rPr>
          <w:rFonts w:ascii="Times New Roman" w:hAnsi="Times New Roman" w:cs="Times New Roman"/>
          <w:bCs/>
          <w:sz w:val="24"/>
          <w:szCs w:val="24"/>
          <w:lang w:val="en-US"/>
        </w:rPr>
        <w:t>Abbreviations</w:t>
      </w:r>
      <w:r>
        <w:rPr>
          <w:rFonts w:ascii="Times New Roman" w:hAnsi="Times New Roman" w:cs="Times New Roman"/>
          <w:bCs/>
          <w:sz w:val="24"/>
          <w:szCs w:val="24"/>
          <w:lang w:val="en-US"/>
        </w:rPr>
        <w:t xml:space="preserve"> for PFTs</w:t>
      </w:r>
      <w:r w:rsidRPr="00B921E0">
        <w:rPr>
          <w:rFonts w:ascii="Times New Roman" w:hAnsi="Times New Roman" w:cs="Times New Roman"/>
          <w:bCs/>
          <w:sz w:val="24"/>
          <w:szCs w:val="24"/>
          <w:lang w:val="en-US"/>
        </w:rPr>
        <w:t>: DBF, deciduous broadleaf forest; EBF, evergreen broadleaf forest; ENF, evergreen needleleaf forest; GRA, grassland; MF, mixed forest; OSH, open shrubland; SAV, savannah; WET, wetland</w:t>
      </w:r>
      <w:r>
        <w:rPr>
          <w:rFonts w:ascii="Times New Roman" w:hAnsi="Times New Roman" w:cs="Times New Roman"/>
          <w:bCs/>
          <w:sz w:val="24"/>
          <w:szCs w:val="24"/>
          <w:lang w:val="en-US"/>
        </w:rPr>
        <w:t xml:space="preserve">. </w:t>
      </w:r>
    </w:p>
    <w:p w14:paraId="6588CED5" w14:textId="77777777" w:rsidR="00103AF5" w:rsidRPr="00942504" w:rsidRDefault="00103AF5" w:rsidP="00103AF5">
      <w:pPr>
        <w:snapToGrid w:val="0"/>
        <w:spacing w:after="0" w:line="480" w:lineRule="auto"/>
        <w:rPr>
          <w:rFonts w:ascii="Times New Roman" w:hAnsi="Times New Roman" w:cs="Times New Roman"/>
          <w:bCs/>
          <w:sz w:val="24"/>
          <w:szCs w:val="24"/>
          <w:lang w:val="en-US"/>
        </w:rPr>
      </w:pPr>
    </w:p>
    <w:p w14:paraId="4C73BD29" w14:textId="77777777" w:rsidR="00103AF5" w:rsidRPr="00CD5B1F" w:rsidRDefault="00103AF5" w:rsidP="00103AF5">
      <w:pPr>
        <w:snapToGri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3.3 </w:t>
      </w:r>
      <w:r w:rsidRPr="004F3E51">
        <w:rPr>
          <w:rFonts w:ascii="Times New Roman" w:hAnsi="Times New Roman" w:cs="Times New Roman"/>
          <w:b/>
          <w:sz w:val="24"/>
          <w:szCs w:val="24"/>
        </w:rPr>
        <w:t>Attributions of GPP anomalies</w:t>
      </w:r>
    </w:p>
    <w:p w14:paraId="0F2CAA6F" w14:textId="77777777" w:rsidR="00103AF5" w:rsidRDefault="00103AF5" w:rsidP="00103AF5">
      <w:pPr>
        <w:snapToGrid w:val="0"/>
        <w:spacing w:after="0" w:line="480" w:lineRule="auto"/>
        <w:rPr>
          <w:rFonts w:ascii="Times New Roman" w:hAnsi="Times New Roman" w:cs="Times New Roman"/>
          <w:sz w:val="24"/>
          <w:szCs w:val="24"/>
        </w:rPr>
      </w:pPr>
      <w:r>
        <w:rPr>
          <w:rFonts w:ascii="Times New Roman" w:hAnsi="Times New Roman" w:cs="Times New Roman"/>
          <w:sz w:val="24"/>
          <w:szCs w:val="24"/>
        </w:rPr>
        <w:t>To investigate</w:t>
      </w:r>
      <w:r w:rsidRPr="004F3E51">
        <w:rPr>
          <w:rFonts w:ascii="Times New Roman" w:hAnsi="Times New Roman" w:cs="Times New Roman"/>
          <w:sz w:val="24"/>
          <w:szCs w:val="24"/>
        </w:rPr>
        <w:t xml:space="preserve"> p</w:t>
      </w:r>
      <w:r>
        <w:rPr>
          <w:rFonts w:ascii="Times New Roman" w:hAnsi="Times New Roman" w:cs="Times New Roman"/>
          <w:sz w:val="24"/>
          <w:szCs w:val="24"/>
        </w:rPr>
        <w:t>otential</w:t>
      </w:r>
      <w:r w:rsidRPr="004F3E51">
        <w:rPr>
          <w:rFonts w:ascii="Times New Roman" w:hAnsi="Times New Roman" w:cs="Times New Roman"/>
          <w:sz w:val="24"/>
          <w:szCs w:val="24"/>
        </w:rPr>
        <w:t xml:space="preserve"> mechanisms </w:t>
      </w:r>
      <w:r>
        <w:rPr>
          <w:rFonts w:ascii="Times New Roman" w:hAnsi="Times New Roman" w:cs="Times New Roman"/>
          <w:sz w:val="24"/>
          <w:szCs w:val="24"/>
        </w:rPr>
        <w:t xml:space="preserve">underlying </w:t>
      </w:r>
      <w:r w:rsidRPr="004F3E51">
        <w:rPr>
          <w:rFonts w:ascii="Times New Roman" w:hAnsi="Times New Roman" w:cs="Times New Roman"/>
          <w:sz w:val="24"/>
          <w:szCs w:val="24"/>
        </w:rPr>
        <w:t xml:space="preserve">the GPP anomalies across the 34 sites </w:t>
      </w:r>
      <w:r>
        <w:rPr>
          <w:rFonts w:ascii="Times New Roman" w:hAnsi="Times New Roman" w:cs="Times New Roman"/>
          <w:sz w:val="24"/>
          <w:szCs w:val="24"/>
        </w:rPr>
        <w:t>where the GPP change was significant</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we compared the 2020 GPP derived from eddy covariance measurements with the GPP simulated by empirical/semi-empirical models, which were </w:t>
      </w:r>
      <w:r>
        <w:rPr>
          <w:rFonts w:ascii="Times New Roman" w:hAnsi="Times New Roman" w:cs="Times New Roman"/>
          <w:sz w:val="24"/>
          <w:szCs w:val="24"/>
        </w:rPr>
        <w:lastRenderedPageBreak/>
        <w:t>constructed using meteorological and pollutant variables over the reference period for each site (Fig. 5). We categorized these 34 sites into three groups based on the contribution of meteorological and pollutant variables to the models and the occurrence of management operations (Fig 6, Table S4).</w:t>
      </w:r>
    </w:p>
    <w:p w14:paraId="3F932450" w14:textId="77777777" w:rsidR="00103AF5" w:rsidRDefault="00103AF5" w:rsidP="00103AF5">
      <w:pPr>
        <w:snapToGrid w:val="0"/>
        <w:spacing w:after="0" w:line="480" w:lineRule="auto"/>
        <w:rPr>
          <w:rFonts w:ascii="Times New Roman" w:eastAsia="Times New Roman" w:hAnsi="Times New Roman" w:cs="Times New Roman"/>
          <w:sz w:val="24"/>
          <w:szCs w:val="24"/>
          <w:lang w:val="en-MY"/>
        </w:rPr>
      </w:pPr>
      <w:r>
        <w:rPr>
          <w:noProof/>
        </w:rPr>
        <w:drawing>
          <wp:inline distT="0" distB="0" distL="0" distR="0" wp14:anchorId="59D749A4" wp14:editId="33310287">
            <wp:extent cx="5731510" cy="2261870"/>
            <wp:effectExtent l="0" t="0" r="2540" b="508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1"/>
                    <a:stretch>
                      <a:fillRect/>
                    </a:stretch>
                  </pic:blipFill>
                  <pic:spPr>
                    <a:xfrm>
                      <a:off x="0" y="0"/>
                      <a:ext cx="5731510" cy="2261870"/>
                    </a:xfrm>
                    <a:prstGeom prst="rect">
                      <a:avLst/>
                    </a:prstGeom>
                  </pic:spPr>
                </pic:pic>
              </a:graphicData>
            </a:graphic>
          </wp:inline>
        </w:drawing>
      </w:r>
    </w:p>
    <w:p w14:paraId="0AE4EF8D" w14:textId="77777777" w:rsidR="00103AF5" w:rsidRDefault="00103AF5" w:rsidP="00103AF5">
      <w:pPr>
        <w:snapToGrid w:val="0"/>
        <w:spacing w:after="0" w:line="480" w:lineRule="auto"/>
        <w:rPr>
          <w:rFonts w:ascii="Times New Roman" w:hAnsi="Times New Roman" w:cs="Times New Roman"/>
          <w:sz w:val="24"/>
          <w:szCs w:val="24"/>
        </w:rPr>
      </w:pPr>
      <w:r w:rsidRPr="004F3E51">
        <w:rPr>
          <w:rFonts w:ascii="Times New Roman" w:hAnsi="Times New Roman" w:cs="Times New Roman"/>
          <w:b/>
          <w:bCs/>
          <w:sz w:val="24"/>
          <w:szCs w:val="24"/>
        </w:rPr>
        <w:t xml:space="preserve">Fig. </w:t>
      </w:r>
      <w:r>
        <w:rPr>
          <w:rFonts w:ascii="Times New Roman" w:hAnsi="Times New Roman" w:cs="Times New Roman"/>
          <w:b/>
          <w:bCs/>
          <w:sz w:val="24"/>
          <w:szCs w:val="24"/>
        </w:rPr>
        <w:t>5</w:t>
      </w:r>
      <w:r w:rsidRPr="004F3E51">
        <w:rPr>
          <w:rFonts w:ascii="Times New Roman" w:hAnsi="Times New Roman" w:cs="Times New Roman"/>
          <w:b/>
          <w:bCs/>
          <w:sz w:val="24"/>
          <w:szCs w:val="24"/>
        </w:rPr>
        <w:t xml:space="preserve">. </w:t>
      </w:r>
      <w:r w:rsidRPr="00EB2A20">
        <w:rPr>
          <w:rFonts w:ascii="Times New Roman" w:hAnsi="Times New Roman" w:cs="Times New Roman"/>
          <w:sz w:val="24"/>
          <w:szCs w:val="24"/>
        </w:rPr>
        <w:t xml:space="preserve">Classification of study sites into </w:t>
      </w:r>
      <w:r>
        <w:rPr>
          <w:rFonts w:ascii="Times New Roman" w:hAnsi="Times New Roman" w:cs="Times New Roman"/>
          <w:sz w:val="24"/>
          <w:szCs w:val="24"/>
        </w:rPr>
        <w:t>three</w:t>
      </w:r>
      <w:r w:rsidRPr="00EB2A20">
        <w:rPr>
          <w:rFonts w:ascii="Times New Roman" w:hAnsi="Times New Roman" w:cs="Times New Roman"/>
          <w:sz w:val="24"/>
          <w:szCs w:val="24"/>
        </w:rPr>
        <w:t xml:space="preserve"> groups on the basis of model simulation. Comparison</w:t>
      </w:r>
      <w:r>
        <w:rPr>
          <w:rFonts w:ascii="Times New Roman" w:hAnsi="Times New Roman" w:cs="Times New Roman"/>
          <w:sz w:val="24"/>
          <w:szCs w:val="24"/>
        </w:rPr>
        <w:t xml:space="preserve"> of daily GPP values</w:t>
      </w:r>
      <w:r w:rsidRPr="00EB2A20">
        <w:rPr>
          <w:rFonts w:ascii="Times New Roman" w:hAnsi="Times New Roman" w:cs="Times New Roman"/>
          <w:sz w:val="24"/>
          <w:szCs w:val="24"/>
        </w:rPr>
        <w:t xml:space="preserve"> between observ</w:t>
      </w:r>
      <w:r>
        <w:rPr>
          <w:rFonts w:ascii="Times New Roman" w:hAnsi="Times New Roman" w:cs="Times New Roman"/>
          <w:sz w:val="24"/>
          <w:szCs w:val="24"/>
        </w:rPr>
        <w:t>ation-based estimates</w:t>
      </w:r>
      <w:r w:rsidRPr="00EB2A20">
        <w:rPr>
          <w:rFonts w:ascii="Times New Roman" w:hAnsi="Times New Roman" w:cs="Times New Roman"/>
          <w:sz w:val="24"/>
          <w:szCs w:val="24"/>
        </w:rPr>
        <w:t xml:space="preserve"> (black line) and meteorology-</w:t>
      </w:r>
      <w:r>
        <w:rPr>
          <w:rFonts w:ascii="Times New Roman" w:hAnsi="Times New Roman" w:cs="Times New Roman"/>
          <w:sz w:val="24"/>
          <w:szCs w:val="24"/>
        </w:rPr>
        <w:t>based models</w:t>
      </w:r>
      <w:r w:rsidRPr="00EB2A20">
        <w:rPr>
          <w:rFonts w:ascii="Times New Roman" w:hAnsi="Times New Roman" w:cs="Times New Roman"/>
          <w:sz w:val="24"/>
          <w:szCs w:val="24"/>
        </w:rPr>
        <w:t xml:space="preserve"> (red line, a-</w:t>
      </w:r>
      <w:r>
        <w:rPr>
          <w:rFonts w:ascii="Times New Roman" w:hAnsi="Times New Roman" w:cs="Times New Roman"/>
          <w:sz w:val="24"/>
          <w:szCs w:val="24"/>
        </w:rPr>
        <w:t>c</w:t>
      </w:r>
      <w:r w:rsidRPr="00EB2A20">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EB2A20">
        <w:rPr>
          <w:rFonts w:ascii="Times New Roman" w:hAnsi="Times New Roman" w:cs="Times New Roman"/>
          <w:sz w:val="24"/>
          <w:szCs w:val="24"/>
        </w:rPr>
        <w:t>meteorology</w:t>
      </w:r>
      <w:r>
        <w:rPr>
          <w:rFonts w:ascii="Times New Roman" w:hAnsi="Times New Roman" w:cs="Times New Roman"/>
          <w:sz w:val="24"/>
          <w:szCs w:val="24"/>
        </w:rPr>
        <w:t>+</w:t>
      </w:r>
      <w:r w:rsidRPr="00EB2A20">
        <w:rPr>
          <w:rFonts w:ascii="Times New Roman" w:hAnsi="Times New Roman" w:cs="Times New Roman"/>
          <w:sz w:val="24"/>
          <w:szCs w:val="24"/>
        </w:rPr>
        <w:t>pollut</w:t>
      </w:r>
      <w:r>
        <w:rPr>
          <w:rFonts w:ascii="Times New Roman" w:hAnsi="Times New Roman" w:cs="Times New Roman"/>
          <w:sz w:val="24"/>
          <w:szCs w:val="24"/>
        </w:rPr>
        <w:t>ion</w:t>
      </w:r>
      <w:r w:rsidRPr="00EB2A20">
        <w:rPr>
          <w:rFonts w:ascii="Times New Roman" w:hAnsi="Times New Roman" w:cs="Times New Roman"/>
          <w:sz w:val="24"/>
          <w:szCs w:val="24"/>
        </w:rPr>
        <w:t>-</w:t>
      </w:r>
      <w:r>
        <w:rPr>
          <w:rFonts w:ascii="Times New Roman" w:hAnsi="Times New Roman" w:cs="Times New Roman"/>
          <w:sz w:val="24"/>
          <w:szCs w:val="24"/>
        </w:rPr>
        <w:t>based models</w:t>
      </w:r>
      <w:r w:rsidRPr="00EB2A20">
        <w:rPr>
          <w:rFonts w:ascii="Times New Roman" w:hAnsi="Times New Roman" w:cs="Times New Roman"/>
          <w:sz w:val="24"/>
          <w:szCs w:val="24"/>
        </w:rPr>
        <w:t xml:space="preserve"> (blue line, </w:t>
      </w:r>
      <w:r>
        <w:rPr>
          <w:rFonts w:ascii="Times New Roman" w:hAnsi="Times New Roman" w:cs="Times New Roman"/>
          <w:sz w:val="24"/>
          <w:szCs w:val="24"/>
        </w:rPr>
        <w:t>b</w:t>
      </w:r>
      <w:r w:rsidRPr="00EB2A20">
        <w:rPr>
          <w:rFonts w:ascii="Times New Roman" w:hAnsi="Times New Roman" w:cs="Times New Roman"/>
          <w:sz w:val="24"/>
          <w:szCs w:val="24"/>
        </w:rPr>
        <w:t xml:space="preserve">) from March to June 2020. Shown here are the simulation patterns of each group representative, that is, (a) </w:t>
      </w:r>
      <w:r>
        <w:rPr>
          <w:rFonts w:ascii="Times New Roman" w:hAnsi="Times New Roman" w:cs="Times New Roman"/>
          <w:sz w:val="24"/>
          <w:szCs w:val="24"/>
        </w:rPr>
        <w:t>SE-Svb</w:t>
      </w:r>
      <w:r w:rsidRPr="00EB2A20">
        <w:rPr>
          <w:rFonts w:ascii="Times New Roman" w:hAnsi="Times New Roman" w:cs="Times New Roman"/>
          <w:sz w:val="24"/>
          <w:szCs w:val="24"/>
        </w:rPr>
        <w:t xml:space="preserve"> </w:t>
      </w:r>
      <w:r>
        <w:rPr>
          <w:rFonts w:ascii="Times New Roman" w:hAnsi="Times New Roman" w:cs="Times New Roman"/>
          <w:sz w:val="24"/>
          <w:szCs w:val="24"/>
        </w:rPr>
        <w:t xml:space="preserve">(ENF) </w:t>
      </w:r>
      <w:r w:rsidRPr="00EB2A20">
        <w:rPr>
          <w:rFonts w:ascii="Times New Roman" w:hAnsi="Times New Roman" w:cs="Times New Roman"/>
          <w:sz w:val="24"/>
          <w:szCs w:val="24"/>
        </w:rPr>
        <w:t>for Group 1</w:t>
      </w:r>
      <w:r>
        <w:rPr>
          <w:rFonts w:ascii="Times New Roman" w:hAnsi="Times New Roman" w:cs="Times New Roman"/>
          <w:sz w:val="24"/>
          <w:szCs w:val="24"/>
        </w:rPr>
        <w:t>,</w:t>
      </w:r>
      <w:r w:rsidRPr="00EB2A20">
        <w:rPr>
          <w:rFonts w:ascii="Times New Roman" w:hAnsi="Times New Roman" w:cs="Times New Roman"/>
          <w:sz w:val="24"/>
          <w:szCs w:val="24"/>
        </w:rPr>
        <w:t xml:space="preserve"> (</w:t>
      </w:r>
      <w:r>
        <w:rPr>
          <w:rFonts w:ascii="Times New Roman" w:hAnsi="Times New Roman" w:cs="Times New Roman"/>
          <w:sz w:val="24"/>
          <w:szCs w:val="24"/>
        </w:rPr>
        <w:t>b</w:t>
      </w:r>
      <w:r w:rsidRPr="00EB2A20">
        <w:rPr>
          <w:rFonts w:ascii="Times New Roman" w:hAnsi="Times New Roman" w:cs="Times New Roman"/>
          <w:sz w:val="24"/>
          <w:szCs w:val="24"/>
        </w:rPr>
        <w:t xml:space="preserve">) IT-MBo </w:t>
      </w:r>
      <w:r>
        <w:rPr>
          <w:rFonts w:ascii="Times New Roman" w:hAnsi="Times New Roman" w:cs="Times New Roman"/>
          <w:sz w:val="24"/>
          <w:szCs w:val="24"/>
        </w:rPr>
        <w:t xml:space="preserve">(GRA) </w:t>
      </w:r>
      <w:r w:rsidRPr="00EB2A20">
        <w:rPr>
          <w:rFonts w:ascii="Times New Roman" w:hAnsi="Times New Roman" w:cs="Times New Roman"/>
          <w:sz w:val="24"/>
          <w:szCs w:val="24"/>
        </w:rPr>
        <w:t xml:space="preserve">for Group </w:t>
      </w:r>
      <w:r>
        <w:rPr>
          <w:rFonts w:ascii="Times New Roman" w:hAnsi="Times New Roman" w:cs="Times New Roman"/>
          <w:sz w:val="24"/>
          <w:szCs w:val="24"/>
        </w:rPr>
        <w:t>2</w:t>
      </w:r>
      <w:r w:rsidRPr="00EB2A20">
        <w:rPr>
          <w:rFonts w:ascii="Times New Roman" w:hAnsi="Times New Roman" w:cs="Times New Roman"/>
          <w:sz w:val="24"/>
          <w:szCs w:val="24"/>
        </w:rPr>
        <w:t xml:space="preserve"> and (</w:t>
      </w:r>
      <w:r>
        <w:rPr>
          <w:rFonts w:ascii="Times New Roman" w:hAnsi="Times New Roman" w:cs="Times New Roman"/>
          <w:sz w:val="24"/>
          <w:szCs w:val="24"/>
        </w:rPr>
        <w:t>c</w:t>
      </w:r>
      <w:r w:rsidRPr="00EB2A20">
        <w:rPr>
          <w:rFonts w:ascii="Times New Roman" w:hAnsi="Times New Roman" w:cs="Times New Roman"/>
          <w:sz w:val="24"/>
          <w:szCs w:val="24"/>
        </w:rPr>
        <w:t xml:space="preserve">) BE-Dor </w:t>
      </w:r>
      <w:r>
        <w:rPr>
          <w:rFonts w:ascii="Times New Roman" w:hAnsi="Times New Roman" w:cs="Times New Roman"/>
          <w:sz w:val="24"/>
          <w:szCs w:val="24"/>
        </w:rPr>
        <w:t xml:space="preserve">(GRA) </w:t>
      </w:r>
      <w:r w:rsidRPr="00EB2A20">
        <w:rPr>
          <w:rFonts w:ascii="Times New Roman" w:hAnsi="Times New Roman" w:cs="Times New Roman"/>
          <w:sz w:val="24"/>
          <w:szCs w:val="24"/>
        </w:rPr>
        <w:t xml:space="preserve">for Group </w:t>
      </w:r>
      <w:r>
        <w:rPr>
          <w:rFonts w:ascii="Times New Roman" w:hAnsi="Times New Roman" w:cs="Times New Roman"/>
          <w:sz w:val="24"/>
          <w:szCs w:val="24"/>
        </w:rPr>
        <w:t>3</w:t>
      </w:r>
      <w:r w:rsidRPr="00EB2A20">
        <w:rPr>
          <w:rFonts w:ascii="Times New Roman" w:hAnsi="Times New Roman" w:cs="Times New Roman"/>
          <w:sz w:val="24"/>
          <w:szCs w:val="24"/>
        </w:rPr>
        <w:t xml:space="preserve">. GPP anomaly in Group 1 was explained by meteorological variables, Group </w:t>
      </w:r>
      <w:r>
        <w:rPr>
          <w:rFonts w:ascii="Times New Roman" w:hAnsi="Times New Roman" w:cs="Times New Roman"/>
          <w:sz w:val="24"/>
          <w:szCs w:val="24"/>
        </w:rPr>
        <w:t>2</w:t>
      </w:r>
      <w:r w:rsidRPr="00EB2A20">
        <w:rPr>
          <w:rFonts w:ascii="Times New Roman" w:hAnsi="Times New Roman" w:cs="Times New Roman"/>
          <w:sz w:val="24"/>
          <w:szCs w:val="24"/>
        </w:rPr>
        <w:t xml:space="preserve"> was attributed to changes in meteorology and pollutants, and Group </w:t>
      </w:r>
      <w:r>
        <w:rPr>
          <w:rFonts w:ascii="Times New Roman" w:hAnsi="Times New Roman" w:cs="Times New Roman"/>
          <w:sz w:val="24"/>
          <w:szCs w:val="24"/>
        </w:rPr>
        <w:t>3</w:t>
      </w:r>
      <w:r w:rsidRPr="00EB2A20">
        <w:rPr>
          <w:rFonts w:ascii="Times New Roman" w:hAnsi="Times New Roman" w:cs="Times New Roman"/>
          <w:sz w:val="24"/>
          <w:szCs w:val="24"/>
        </w:rPr>
        <w:t xml:space="preserve"> was driven by both meteorology and management options. </w:t>
      </w:r>
      <w:r>
        <w:rPr>
          <w:rFonts w:ascii="Times New Roman" w:hAnsi="Times New Roman" w:cs="Times New Roman"/>
          <w:sz w:val="24"/>
          <w:szCs w:val="24"/>
        </w:rPr>
        <w:t>Grey s</w:t>
      </w:r>
      <w:r w:rsidRPr="00EB2A20">
        <w:rPr>
          <w:rFonts w:ascii="Times New Roman" w:hAnsi="Times New Roman" w:cs="Times New Roman"/>
          <w:sz w:val="24"/>
          <w:szCs w:val="24"/>
        </w:rPr>
        <w:t xml:space="preserve">haded areas </w:t>
      </w:r>
      <w:r>
        <w:rPr>
          <w:rFonts w:ascii="Times New Roman" w:hAnsi="Times New Roman" w:cs="Times New Roman"/>
          <w:sz w:val="24"/>
          <w:szCs w:val="24"/>
        </w:rPr>
        <w:t xml:space="preserve">indicate observation based GPP uncertainty. Red and blue shaded areas represent </w:t>
      </w:r>
      <w:r w:rsidRPr="00EB2A20">
        <w:rPr>
          <w:rFonts w:ascii="Times New Roman" w:hAnsi="Times New Roman" w:cs="Times New Roman"/>
          <w:sz w:val="24"/>
          <w:szCs w:val="24"/>
        </w:rPr>
        <w:t>95% confidence intervals</w:t>
      </w:r>
      <w:r>
        <w:rPr>
          <w:rFonts w:ascii="Times New Roman" w:hAnsi="Times New Roman" w:cs="Times New Roman"/>
          <w:sz w:val="24"/>
          <w:szCs w:val="24"/>
        </w:rPr>
        <w:t xml:space="preserve"> on model-predicted values.</w:t>
      </w:r>
    </w:p>
    <w:p w14:paraId="0BC6A993" w14:textId="77777777" w:rsidR="00103AF5" w:rsidRDefault="00103AF5" w:rsidP="00103AF5">
      <w:pPr>
        <w:snapToGrid w:val="0"/>
        <w:spacing w:after="0" w:line="480" w:lineRule="auto"/>
        <w:rPr>
          <w:rFonts w:ascii="Times New Roman" w:hAnsi="Times New Roman" w:cs="Times New Roman"/>
          <w:sz w:val="24"/>
          <w:szCs w:val="24"/>
        </w:rPr>
      </w:pPr>
    </w:p>
    <w:p w14:paraId="5F642C77" w14:textId="77777777" w:rsidR="00103AF5" w:rsidRDefault="00103AF5" w:rsidP="00103AF5">
      <w:pPr>
        <w:snapToGrid w:val="0"/>
        <w:spacing w:after="0" w:line="480" w:lineRule="auto"/>
        <w:rPr>
          <w:rFonts w:ascii="Times New Roman" w:eastAsia="Times New Roman" w:hAnsi="Times New Roman" w:cs="Times New Roman"/>
          <w:sz w:val="24"/>
          <w:szCs w:val="24"/>
        </w:rPr>
      </w:pPr>
      <w:r>
        <w:rPr>
          <w:noProof/>
        </w:rPr>
        <w:lastRenderedPageBreak/>
        <w:drawing>
          <wp:inline distT="0" distB="0" distL="0" distR="0" wp14:anchorId="7A3AC8BC" wp14:editId="3C33D061">
            <wp:extent cx="5731510" cy="4048760"/>
            <wp:effectExtent l="0" t="0" r="2540" b="889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2"/>
                    <a:stretch>
                      <a:fillRect/>
                    </a:stretch>
                  </pic:blipFill>
                  <pic:spPr>
                    <a:xfrm>
                      <a:off x="0" y="0"/>
                      <a:ext cx="5731510" cy="4048760"/>
                    </a:xfrm>
                    <a:prstGeom prst="rect">
                      <a:avLst/>
                    </a:prstGeom>
                  </pic:spPr>
                </pic:pic>
              </a:graphicData>
            </a:graphic>
          </wp:inline>
        </w:drawing>
      </w:r>
    </w:p>
    <w:p w14:paraId="210AB6B0" w14:textId="77777777" w:rsidR="00103AF5" w:rsidRDefault="00103AF5" w:rsidP="00103AF5">
      <w:pPr>
        <w:snapToGrid w:val="0"/>
        <w:spacing w:after="0" w:line="480" w:lineRule="auto"/>
        <w:rPr>
          <w:rFonts w:ascii="Times New Roman" w:hAnsi="Times New Roman" w:cs="Times New Roman"/>
          <w:noProof/>
          <w:sz w:val="24"/>
          <w:szCs w:val="24"/>
        </w:rPr>
      </w:pPr>
      <w:r w:rsidRPr="004F3E51">
        <w:rPr>
          <w:rFonts w:ascii="Times New Roman" w:hAnsi="Times New Roman" w:cs="Times New Roman"/>
          <w:b/>
          <w:noProof/>
          <w:sz w:val="24"/>
          <w:szCs w:val="24"/>
        </w:rPr>
        <w:t xml:space="preserve">Fig. </w:t>
      </w:r>
      <w:r>
        <w:rPr>
          <w:rFonts w:ascii="Times New Roman" w:hAnsi="Times New Roman" w:cs="Times New Roman"/>
          <w:b/>
          <w:noProof/>
          <w:sz w:val="24"/>
          <w:szCs w:val="24"/>
        </w:rPr>
        <w:t>6</w:t>
      </w:r>
      <w:r w:rsidRPr="004F3E51">
        <w:rPr>
          <w:rFonts w:ascii="Times New Roman" w:hAnsi="Times New Roman" w:cs="Times New Roman"/>
          <w:b/>
          <w:noProof/>
          <w:sz w:val="24"/>
          <w:szCs w:val="24"/>
        </w:rPr>
        <w:t>.</w:t>
      </w:r>
      <w:r w:rsidRPr="004F3E51">
        <w:rPr>
          <w:rFonts w:ascii="Times New Roman" w:hAnsi="Times New Roman" w:cs="Times New Roman"/>
          <w:noProof/>
          <w:sz w:val="24"/>
          <w:szCs w:val="24"/>
        </w:rPr>
        <w:t xml:space="preserve"> The distribution of the relative change in GPP in the spring of 2020 (March-June) relative to the spring average for 2015-2019 reference period at the </w:t>
      </w:r>
      <w:r>
        <w:rPr>
          <w:rFonts w:ascii="Times New Roman" w:hAnsi="Times New Roman" w:cs="Times New Roman"/>
          <w:noProof/>
          <w:sz w:val="24"/>
          <w:szCs w:val="24"/>
        </w:rPr>
        <w:t>three</w:t>
      </w:r>
      <w:r w:rsidRPr="004F3E51">
        <w:rPr>
          <w:rFonts w:ascii="Times New Roman" w:hAnsi="Times New Roman" w:cs="Times New Roman"/>
          <w:noProof/>
          <w:sz w:val="24"/>
          <w:szCs w:val="24"/>
        </w:rPr>
        <w:t xml:space="preserve"> groups of study sites in Europe. Error bars represent one-sided uncertainty in </w:t>
      </w:r>
      <w:r>
        <w:rPr>
          <w:rFonts w:ascii="Times New Roman" w:hAnsi="Times New Roman" w:cs="Times New Roman"/>
          <w:noProof/>
          <w:sz w:val="24"/>
          <w:szCs w:val="24"/>
        </w:rPr>
        <w:t xml:space="preserve">the </w:t>
      </w:r>
      <w:r w:rsidRPr="004F3E51">
        <w:rPr>
          <w:rFonts w:ascii="Times New Roman" w:hAnsi="Times New Roman" w:cs="Times New Roman"/>
          <w:noProof/>
          <w:sz w:val="24"/>
          <w:szCs w:val="24"/>
        </w:rPr>
        <w:t xml:space="preserve">GPP anomaly. </w:t>
      </w:r>
      <w:r>
        <w:rPr>
          <w:rFonts w:ascii="Times New Roman" w:hAnsi="Times New Roman" w:cs="Times New Roman"/>
          <w:noProof/>
          <w:sz w:val="24"/>
          <w:szCs w:val="24"/>
        </w:rPr>
        <w:t xml:space="preserve">The stars (*) denote sites close to </w:t>
      </w:r>
      <w:r w:rsidRPr="00E37530">
        <w:rPr>
          <w:rFonts w:ascii="Times New Roman" w:hAnsi="Times New Roman" w:cs="Times New Roman"/>
          <w:noProof/>
          <w:sz w:val="24"/>
          <w:szCs w:val="24"/>
        </w:rPr>
        <w:t>metropolitan areas</w:t>
      </w:r>
      <w:r>
        <w:rPr>
          <w:rFonts w:ascii="Times New Roman" w:hAnsi="Times New Roman" w:cs="Times New Roman"/>
          <w:noProof/>
          <w:sz w:val="24"/>
          <w:szCs w:val="24"/>
        </w:rPr>
        <w:t xml:space="preserve"> (less than 50 km distance) with more than one million inhabitants.</w:t>
      </w:r>
    </w:p>
    <w:p w14:paraId="330F2F2B" w14:textId="77777777" w:rsidR="00103AF5" w:rsidRDefault="00103AF5" w:rsidP="00103AF5">
      <w:pPr>
        <w:snapToGrid w:val="0"/>
        <w:spacing w:after="0" w:line="480" w:lineRule="auto"/>
        <w:rPr>
          <w:rFonts w:ascii="Times New Roman" w:hAnsi="Times New Roman" w:cs="Times New Roman"/>
          <w:noProof/>
          <w:sz w:val="24"/>
          <w:szCs w:val="24"/>
        </w:rPr>
      </w:pPr>
    </w:p>
    <w:p w14:paraId="6891450F" w14:textId="77777777" w:rsidR="00103AF5" w:rsidRPr="00ED6D75" w:rsidRDefault="00103AF5" w:rsidP="00103AF5">
      <w:pPr>
        <w:snapToGrid w:val="0"/>
        <w:spacing w:after="0" w:line="480" w:lineRule="auto"/>
        <w:rPr>
          <w:rFonts w:ascii="Times New Roman" w:eastAsia="Times New Roman" w:hAnsi="Times New Roman" w:cs="Times New Roman"/>
          <w:b/>
          <w:bCs/>
          <w:sz w:val="24"/>
          <w:szCs w:val="24"/>
          <w:lang w:val="en-MY"/>
        </w:rPr>
      </w:pPr>
      <w:r w:rsidRPr="00ED6D75">
        <w:rPr>
          <w:rFonts w:ascii="Times New Roman" w:hAnsi="Times New Roman" w:cs="Times New Roman"/>
          <w:b/>
          <w:bCs/>
          <w:noProof/>
          <w:sz w:val="24"/>
          <w:szCs w:val="24"/>
        </w:rPr>
        <w:t>3.3.1 GPP anomalies mostly attributed to meteorology</w:t>
      </w:r>
    </w:p>
    <w:p w14:paraId="28133262" w14:textId="77777777" w:rsidR="00103AF5" w:rsidRDefault="00103AF5" w:rsidP="00103AF5">
      <w:pPr>
        <w:snapToGrid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1 includes 25 sites where meteorology-based model explained &gt; 53% of the variance in GPP (except for CH-Aws, CH-Dav, DE-Hai and DE-Hzd as discussed in Section 4.1 and 4.4), and the pollutant variables did not contribute more than 6% to the total variance (Table S4). This group includes all sites at which no agricultural or forest management occurred in spring 2020. Our results show that 12 out of 25 sites experienced a </w:t>
      </w:r>
      <w:r w:rsidRPr="004F3E51">
        <w:rPr>
          <w:rFonts w:ascii="Times New Roman" w:eastAsia="Times New Roman" w:hAnsi="Times New Roman" w:cs="Times New Roman"/>
          <w:sz w:val="24"/>
          <w:szCs w:val="24"/>
        </w:rPr>
        <w:t xml:space="preserve">GPP reduction </w:t>
      </w:r>
      <w:r>
        <w:rPr>
          <w:rFonts w:ascii="Times New Roman" w:eastAsia="Times New Roman" w:hAnsi="Times New Roman" w:cs="Times New Roman"/>
          <w:sz w:val="24"/>
          <w:szCs w:val="24"/>
        </w:rPr>
        <w:t xml:space="preserve">in the spring of </w:t>
      </w:r>
      <w:r>
        <w:rPr>
          <w:rFonts w:ascii="Times New Roman" w:eastAsia="Times New Roman" w:hAnsi="Times New Roman" w:cs="Times New Roman"/>
          <w:sz w:val="24"/>
          <w:szCs w:val="24"/>
        </w:rPr>
        <w:lastRenderedPageBreak/>
        <w:t>2020 (</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106</w:t>
      </w:r>
      <w:r w:rsidRPr="004F3E5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60</w:t>
      </w:r>
      <w:r w:rsidRPr="004F3E51">
        <w:rPr>
          <w:rFonts w:ascii="Times New Roman" w:eastAsia="Times New Roman" w:hAnsi="Times New Roman" w:cs="Times New Roman"/>
          <w:sz w:val="24"/>
          <w:szCs w:val="24"/>
        </w:rPr>
        <w:t xml:space="preserve"> g C m</w:t>
      </w:r>
      <w:r w:rsidRPr="004F3E51">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sidRPr="004F3E51">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3E51">
        <w:rPr>
          <w:rFonts w:ascii="Times New Roman" w:eastAsia="Times New Roman" w:hAnsi="Times New Roman" w:cs="Times New Roman"/>
          <w:sz w:val="24"/>
          <w:szCs w:val="24"/>
        </w:rPr>
        <w:t>while the remaining 1</w:t>
      </w:r>
      <w:r>
        <w:rPr>
          <w:rFonts w:ascii="Times New Roman" w:eastAsia="Times New Roman" w:hAnsi="Times New Roman" w:cs="Times New Roman"/>
          <w:sz w:val="24"/>
          <w:szCs w:val="24"/>
        </w:rPr>
        <w:t>3</w:t>
      </w:r>
      <w:r w:rsidRPr="004F3E51">
        <w:rPr>
          <w:rFonts w:ascii="Times New Roman" w:eastAsia="Times New Roman" w:hAnsi="Times New Roman" w:cs="Times New Roman"/>
          <w:sz w:val="24"/>
          <w:szCs w:val="24"/>
        </w:rPr>
        <w:t xml:space="preserve"> sites experienced an </w:t>
      </w:r>
      <w:r w:rsidRPr="00726D0F">
        <w:rPr>
          <w:rFonts w:ascii="Times New Roman" w:eastAsia="Times New Roman" w:hAnsi="Times New Roman" w:cs="Times New Roman"/>
          <w:sz w:val="24"/>
          <w:szCs w:val="24"/>
        </w:rPr>
        <w:t>increase in GPP (+13</w:t>
      </w:r>
      <w:r>
        <w:rPr>
          <w:rFonts w:ascii="Times New Roman" w:eastAsia="Times New Roman" w:hAnsi="Times New Roman" w:cs="Times New Roman"/>
          <w:sz w:val="24"/>
          <w:szCs w:val="24"/>
        </w:rPr>
        <w:t>4</w:t>
      </w:r>
      <w:r w:rsidRPr="00726D0F">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94</w:t>
      </w:r>
      <w:r w:rsidRPr="00726D0F">
        <w:rPr>
          <w:rFonts w:ascii="Times New Roman" w:eastAsia="Times New Roman" w:hAnsi="Times New Roman" w:cs="Times New Roman"/>
          <w:sz w:val="24"/>
          <w:szCs w:val="24"/>
        </w:rPr>
        <w:t xml:space="preserve"> g C m</w:t>
      </w:r>
      <w:r w:rsidRPr="00726D0F">
        <w:rPr>
          <w:rFonts w:ascii="Times New Roman" w:eastAsia="Times New Roman" w:hAnsi="Times New Roman" w:cs="Times New Roman"/>
          <w:sz w:val="24"/>
          <w:szCs w:val="24"/>
          <w:vertAlign w:val="superscript"/>
        </w:rPr>
        <w:t>−2</w:t>
      </w:r>
      <w:r w:rsidRPr="00726D0F">
        <w:rPr>
          <w:rFonts w:ascii="Times New Roman" w:eastAsia="Times New Roman" w:hAnsi="Times New Roman" w:cs="Times New Roman"/>
          <w:sz w:val="24"/>
          <w:szCs w:val="24"/>
        </w:rPr>
        <w:t xml:space="preserve">, +17%). </w:t>
      </w:r>
    </w:p>
    <w:p w14:paraId="03809C97" w14:textId="77777777" w:rsidR="00103AF5" w:rsidRPr="003B30FE" w:rsidRDefault="00103AF5" w:rsidP="00103AF5">
      <w:pPr>
        <w:snapToGrid w:val="0"/>
        <w:spacing w:after="0" w:line="480" w:lineRule="auto"/>
        <w:ind w:firstLine="720"/>
        <w:rPr>
          <w:rFonts w:ascii="Times New Roman" w:hAnsi="Times New Roman" w:cs="Times New Roman"/>
          <w:sz w:val="24"/>
          <w:szCs w:val="24"/>
        </w:rPr>
      </w:pPr>
      <w:r w:rsidRPr="00726D0F">
        <w:rPr>
          <w:rFonts w:ascii="Times New Roman" w:eastAsia="Times New Roman" w:hAnsi="Times New Roman" w:cs="Times New Roman"/>
          <w:sz w:val="24"/>
          <w:szCs w:val="24"/>
        </w:rPr>
        <w:t xml:space="preserve">In comparison with </w:t>
      </w:r>
      <w:r>
        <w:rPr>
          <w:rFonts w:ascii="Times New Roman" w:eastAsia="Times New Roman" w:hAnsi="Times New Roman" w:cs="Times New Roman"/>
          <w:sz w:val="24"/>
          <w:szCs w:val="24"/>
        </w:rPr>
        <w:t xml:space="preserve">the reference </w:t>
      </w:r>
      <w:r w:rsidRPr="00726D0F">
        <w:rPr>
          <w:rFonts w:ascii="Times New Roman" w:eastAsia="Times New Roman" w:hAnsi="Times New Roman" w:cs="Times New Roman"/>
          <w:sz w:val="24"/>
          <w:szCs w:val="24"/>
        </w:rPr>
        <w:t>years 2015-2019, the</w:t>
      </w:r>
      <w:r>
        <w:rPr>
          <w:rFonts w:ascii="Times New Roman" w:eastAsia="Times New Roman" w:hAnsi="Times New Roman" w:cs="Times New Roman"/>
          <w:sz w:val="24"/>
          <w:szCs w:val="24"/>
        </w:rPr>
        <w:t xml:space="preserve"> spring 2020 was brighter, warmer and drier, in which</w:t>
      </w:r>
      <w:r w:rsidRPr="00726D0F">
        <w:rPr>
          <w:rFonts w:ascii="Times New Roman" w:eastAsia="Times New Roman" w:hAnsi="Times New Roman" w:cs="Times New Roman"/>
          <w:sz w:val="24"/>
          <w:szCs w:val="24"/>
        </w:rPr>
        <w:t xml:space="preserve"> mean SW</w:t>
      </w:r>
      <w:r w:rsidRPr="00726D0F">
        <w:rPr>
          <w:rFonts w:ascii="Times New Roman" w:eastAsia="Times New Roman" w:hAnsi="Times New Roman" w:cs="Times New Roman"/>
          <w:sz w:val="24"/>
          <w:szCs w:val="24"/>
          <w:vertAlign w:val="subscript"/>
        </w:rPr>
        <w:t>in</w:t>
      </w:r>
      <w:r w:rsidRPr="00942504">
        <w:rPr>
          <w:rFonts w:ascii="Times New Roman" w:eastAsia="Times New Roman" w:hAnsi="Times New Roman" w:cs="Times New Roman"/>
          <w:sz w:val="24"/>
          <w:szCs w:val="24"/>
        </w:rPr>
        <w:t xml:space="preserve">, </w:t>
      </w:r>
      <w:r w:rsidRPr="002B1F6A">
        <w:rPr>
          <w:rFonts w:ascii="Times New Roman" w:eastAsia="Times New Roman" w:hAnsi="Times New Roman" w:cs="Times New Roman"/>
          <w:sz w:val="24"/>
          <w:szCs w:val="24"/>
        </w:rPr>
        <w:t>T</w:t>
      </w:r>
      <w:r w:rsidRPr="002B1F6A">
        <w:rPr>
          <w:rFonts w:ascii="Times New Roman" w:eastAsia="Times New Roman" w:hAnsi="Times New Roman" w:cs="Times New Roman"/>
          <w:sz w:val="24"/>
          <w:szCs w:val="24"/>
          <w:vertAlign w:val="subscript"/>
        </w:rPr>
        <w:t>a</w:t>
      </w:r>
      <w:r w:rsidRPr="00942504">
        <w:rPr>
          <w:rFonts w:ascii="Times New Roman" w:eastAsia="Times New Roman" w:hAnsi="Times New Roman" w:cs="Times New Roman"/>
          <w:sz w:val="24"/>
          <w:szCs w:val="24"/>
        </w:rPr>
        <w:t>, VPD</w:t>
      </w:r>
      <w:r w:rsidRPr="00726D0F">
        <w:rPr>
          <w:rFonts w:ascii="Times New Roman" w:eastAsia="Times New Roman" w:hAnsi="Times New Roman" w:cs="Times New Roman"/>
          <w:sz w:val="24"/>
          <w:szCs w:val="24"/>
        </w:rPr>
        <w:t xml:space="preserve"> </w:t>
      </w:r>
      <w:r w:rsidRPr="00942504">
        <w:rPr>
          <w:rFonts w:ascii="Times New Roman" w:eastAsia="Times New Roman" w:hAnsi="Times New Roman" w:cs="Times New Roman"/>
          <w:sz w:val="24"/>
          <w:szCs w:val="24"/>
        </w:rPr>
        <w:t xml:space="preserve">in this group </w:t>
      </w:r>
      <w:r>
        <w:rPr>
          <w:rFonts w:ascii="Times New Roman" w:eastAsia="Times New Roman" w:hAnsi="Times New Roman" w:cs="Times New Roman"/>
          <w:sz w:val="24"/>
          <w:szCs w:val="24"/>
        </w:rPr>
        <w:t xml:space="preserve">increased </w:t>
      </w:r>
      <w:r w:rsidRPr="00726D0F">
        <w:rPr>
          <w:rFonts w:ascii="Times New Roman" w:eastAsia="Times New Roman" w:hAnsi="Times New Roman" w:cs="Times New Roman"/>
          <w:sz w:val="24"/>
          <w:szCs w:val="24"/>
        </w:rPr>
        <w:t>by +16 ± 1</w:t>
      </w:r>
      <w:r>
        <w:rPr>
          <w:rFonts w:ascii="Times New Roman" w:eastAsia="Times New Roman" w:hAnsi="Times New Roman" w:cs="Times New Roman"/>
          <w:sz w:val="24"/>
          <w:szCs w:val="24"/>
        </w:rPr>
        <w:t>2</w:t>
      </w:r>
      <w:r w:rsidRPr="00726D0F">
        <w:rPr>
          <w:rFonts w:ascii="Times New Roman" w:eastAsia="Times New Roman" w:hAnsi="Times New Roman" w:cs="Times New Roman"/>
          <w:sz w:val="24"/>
          <w:szCs w:val="24"/>
        </w:rPr>
        <w:t xml:space="preserve"> W m</w:t>
      </w:r>
      <w:r w:rsidRPr="00726D0F">
        <w:rPr>
          <w:rFonts w:ascii="Times New Roman" w:eastAsia="Times New Roman" w:hAnsi="Times New Roman" w:cs="Times New Roman"/>
          <w:sz w:val="24"/>
          <w:szCs w:val="24"/>
          <w:vertAlign w:val="superscript"/>
        </w:rPr>
        <w:t>−2</w:t>
      </w:r>
      <w:r w:rsidRPr="00726D0F">
        <w:rPr>
          <w:rFonts w:ascii="Times New Roman" w:eastAsia="Times New Roman" w:hAnsi="Times New Roman" w:cs="Times New Roman"/>
          <w:sz w:val="24"/>
          <w:szCs w:val="24"/>
        </w:rPr>
        <w:t xml:space="preserve">, </w:t>
      </w:r>
      <w:r w:rsidRPr="00942504">
        <w:rPr>
          <w:rFonts w:ascii="Times New Roman" w:eastAsia="Times New Roman" w:hAnsi="Times New Roman" w:cs="Times New Roman"/>
          <w:sz w:val="24"/>
          <w:szCs w:val="24"/>
        </w:rPr>
        <w:t xml:space="preserve">+0.24 ± 1.2 °C and +0.06 ± 0.07 kPa </w:t>
      </w:r>
      <w:r w:rsidRPr="00726D0F">
        <w:rPr>
          <w:rFonts w:ascii="Times New Roman" w:eastAsia="Times New Roman" w:hAnsi="Times New Roman" w:cs="Times New Roman"/>
          <w:sz w:val="24"/>
          <w:szCs w:val="24"/>
        </w:rPr>
        <w:t xml:space="preserve">respectively, while </w:t>
      </w:r>
      <w:r w:rsidRPr="00356E15">
        <w:rPr>
          <w:rFonts w:ascii="Times New Roman" w:hAnsi="Times New Roman" w:cs="Times New Roman"/>
          <w:bCs/>
          <w:sz w:val="24"/>
          <w:szCs w:val="24"/>
        </w:rPr>
        <w:t>P</w:t>
      </w:r>
      <w:r w:rsidRPr="00356E15">
        <w:rPr>
          <w:rFonts w:ascii="Times New Roman" w:hAnsi="Times New Roman" w:cs="Times New Roman"/>
          <w:bCs/>
          <w:sz w:val="24"/>
          <w:szCs w:val="24"/>
          <w:vertAlign w:val="subscript"/>
        </w:rPr>
        <w:t>tot</w:t>
      </w:r>
      <w:r w:rsidRPr="00726D0F">
        <w:rPr>
          <w:rFonts w:ascii="Times New Roman" w:eastAsia="Times New Roman" w:hAnsi="Times New Roman" w:cs="Times New Roman"/>
          <w:sz w:val="24"/>
          <w:szCs w:val="24"/>
        </w:rPr>
        <w:t xml:space="preserve"> and SWC decreased by −3</w:t>
      </w:r>
      <w:r>
        <w:rPr>
          <w:rFonts w:ascii="Times New Roman" w:eastAsia="Times New Roman" w:hAnsi="Times New Roman" w:cs="Times New Roman"/>
          <w:sz w:val="24"/>
          <w:szCs w:val="24"/>
        </w:rPr>
        <w:t>6</w:t>
      </w:r>
      <w:r w:rsidRPr="00726D0F">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80</w:t>
      </w:r>
      <w:r w:rsidRPr="00726D0F">
        <w:rPr>
          <w:rFonts w:ascii="Times New Roman" w:eastAsia="Times New Roman" w:hAnsi="Times New Roman" w:cs="Times New Roman"/>
          <w:sz w:val="24"/>
          <w:szCs w:val="24"/>
        </w:rPr>
        <w:t xml:space="preserve"> mm and −0.04 ± 0.06 m</w:t>
      </w:r>
      <w:r w:rsidRPr="00942504">
        <w:rPr>
          <w:rFonts w:ascii="Times New Roman" w:eastAsia="Times New Roman" w:hAnsi="Times New Roman" w:cs="Times New Roman"/>
          <w:sz w:val="24"/>
          <w:szCs w:val="24"/>
          <w:vertAlign w:val="superscript"/>
        </w:rPr>
        <w:t>3</w:t>
      </w:r>
      <w:r w:rsidRPr="00726D0F">
        <w:rPr>
          <w:rFonts w:ascii="Times New Roman" w:eastAsia="Times New Roman" w:hAnsi="Times New Roman" w:cs="Times New Roman"/>
          <w:sz w:val="24"/>
          <w:szCs w:val="24"/>
        </w:rPr>
        <w:t>m</w:t>
      </w:r>
      <w:r w:rsidRPr="00942504">
        <w:rPr>
          <w:rFonts w:ascii="Times New Roman" w:eastAsia="Times New Roman" w:hAnsi="Times New Roman" w:cs="Times New Roman"/>
          <w:sz w:val="24"/>
          <w:szCs w:val="24"/>
          <w:vertAlign w:val="superscript"/>
        </w:rPr>
        <w:t>-3</w:t>
      </w:r>
      <w:r w:rsidRPr="00726D0F">
        <w:rPr>
          <w:rFonts w:ascii="Times New Roman" w:eastAsia="Times New Roman" w:hAnsi="Times New Roman" w:cs="Times New Roman"/>
          <w:sz w:val="24"/>
          <w:szCs w:val="24"/>
        </w:rPr>
        <w:t>, respectively.</w:t>
      </w:r>
      <w:r>
        <w:rPr>
          <w:rFonts w:ascii="Times New Roman" w:eastAsia="Times New Roman" w:hAnsi="Times New Roman" w:cs="Times New Roman"/>
          <w:sz w:val="24"/>
          <w:szCs w:val="24"/>
        </w:rPr>
        <w:t xml:space="preserve"> The unusual weather conditions during the spring of 2020 emphasize the need to examine eco-physiological responses to climatic drivers, and if possible, to factor out these influences from the overall changes in ecosystem photosynthesis that occurred during the COVID-19 lockdown. </w:t>
      </w:r>
    </w:p>
    <w:p w14:paraId="78040F2A" w14:textId="77777777" w:rsidR="00103AF5" w:rsidRPr="007A054A" w:rsidRDefault="00103AF5" w:rsidP="00103AF5">
      <w:pPr>
        <w:numPr>
          <w:ilvl w:val="0"/>
          <w:numId w:val="1"/>
        </w:numPr>
        <w:snapToGrid w:val="0"/>
        <w:spacing w:after="0"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reduction in GPP observed in half of the Group 1 sites coincided with an enhanced </w:t>
      </w:r>
      <w:r w:rsidRPr="00512732">
        <w:rPr>
          <w:rFonts w:ascii="Times New Roman" w:hAnsi="Times New Roman" w:cs="Times New Roman"/>
          <w:sz w:val="24"/>
          <w:szCs w:val="24"/>
        </w:rPr>
        <w:t>Bowen ratio</w:t>
      </w:r>
      <w:r>
        <w:rPr>
          <w:rFonts w:ascii="Times New Roman" w:hAnsi="Times New Roman" w:cs="Times New Roman"/>
          <w:sz w:val="24"/>
          <w:szCs w:val="24"/>
        </w:rPr>
        <w:t xml:space="preserve">, </w:t>
      </w:r>
      <w:r w:rsidRPr="00512732">
        <w:rPr>
          <w:rFonts w:ascii="Times New Roman" w:eastAsia="Times New Roman" w:hAnsi="Times New Roman" w:cs="Times New Roman"/>
          <w:i/>
          <w:sz w:val="24"/>
          <w:szCs w:val="24"/>
        </w:rPr>
        <w:t>β</w:t>
      </w:r>
      <w:r>
        <w:rPr>
          <w:rFonts w:ascii="Times New Roman" w:eastAsia="Times New Roman" w:hAnsi="Times New Roman" w:cs="Times New Roman"/>
          <w:i/>
          <w:sz w:val="24"/>
          <w:szCs w:val="24"/>
        </w:rPr>
        <w:t xml:space="preserve"> </w:t>
      </w:r>
      <w:r>
        <w:rPr>
          <w:rFonts w:ascii="Times New Roman" w:eastAsia="Times New Roman" w:hAnsi="Times New Roman" w:cs="Times New Roman"/>
          <w:iCs/>
          <w:sz w:val="24"/>
          <w:szCs w:val="24"/>
        </w:rPr>
        <w:t>(</w:t>
      </w:r>
      <w:r w:rsidRPr="00512732">
        <w:rPr>
          <w:rFonts w:ascii="Times New Roman" w:hAnsi="Times New Roman" w:cs="Times New Roman"/>
          <w:sz w:val="24"/>
          <w:szCs w:val="24"/>
        </w:rPr>
        <w:t>+0.</w:t>
      </w:r>
      <w:r>
        <w:rPr>
          <w:rFonts w:ascii="Times New Roman" w:hAnsi="Times New Roman" w:cs="Times New Roman"/>
          <w:sz w:val="24"/>
          <w:szCs w:val="24"/>
        </w:rPr>
        <w:t>55</w:t>
      </w:r>
      <w:r w:rsidRPr="00512732">
        <w:rPr>
          <w:rFonts w:ascii="Times New Roman" w:hAnsi="Times New Roman" w:cs="Times New Roman"/>
          <w:sz w:val="24"/>
          <w:szCs w:val="24"/>
        </w:rPr>
        <w:t xml:space="preserve"> ± 0.</w:t>
      </w:r>
      <w:r>
        <w:rPr>
          <w:rFonts w:ascii="Times New Roman" w:hAnsi="Times New Roman" w:cs="Times New Roman"/>
          <w:sz w:val="24"/>
          <w:szCs w:val="24"/>
        </w:rPr>
        <w:t>42</w:t>
      </w:r>
      <w:r w:rsidRPr="00512732">
        <w:rPr>
          <w:rFonts w:ascii="Times New Roman" w:hAnsi="Times New Roman" w:cs="Times New Roman"/>
          <w:sz w:val="24"/>
          <w:szCs w:val="24"/>
        </w:rPr>
        <w:t>, +</w:t>
      </w:r>
      <w:r>
        <w:rPr>
          <w:rFonts w:ascii="Times New Roman" w:hAnsi="Times New Roman" w:cs="Times New Roman"/>
          <w:sz w:val="24"/>
          <w:szCs w:val="24"/>
        </w:rPr>
        <w:t>31</w:t>
      </w:r>
      <w:r w:rsidRPr="00512732">
        <w:rPr>
          <w:rFonts w:ascii="Times New Roman" w:hAnsi="Times New Roman" w:cs="Times New Roman"/>
          <w:sz w:val="24"/>
          <w:szCs w:val="24"/>
        </w:rPr>
        <w:t xml:space="preserve">%, </w:t>
      </w:r>
      <w:r w:rsidRPr="00512732">
        <w:rPr>
          <w:rFonts w:ascii="Times New Roman" w:hAnsi="Times New Roman" w:cs="Times New Roman"/>
          <w:i/>
          <w:iCs/>
          <w:sz w:val="24"/>
          <w:szCs w:val="24"/>
        </w:rPr>
        <w:t>p</w:t>
      </w:r>
      <w:r w:rsidRPr="00512732">
        <w:rPr>
          <w:rFonts w:ascii="Times New Roman" w:hAnsi="Times New Roman" w:cs="Times New Roman"/>
          <w:sz w:val="24"/>
          <w:szCs w:val="24"/>
        </w:rPr>
        <w:t xml:space="preserve"> </w:t>
      </w:r>
      <w:r>
        <w:rPr>
          <w:rFonts w:ascii="Times New Roman" w:hAnsi="Times New Roman" w:cs="Times New Roman"/>
          <w:sz w:val="24"/>
          <w:szCs w:val="24"/>
        </w:rPr>
        <w:t>&lt;</w:t>
      </w:r>
      <w:r w:rsidRPr="00512732">
        <w:rPr>
          <w:rFonts w:ascii="Times New Roman" w:hAnsi="Times New Roman" w:cs="Times New Roman"/>
          <w:sz w:val="24"/>
          <w:szCs w:val="24"/>
        </w:rPr>
        <w:t xml:space="preserve"> .0</w:t>
      </w:r>
      <w:r>
        <w:rPr>
          <w:rFonts w:ascii="Times New Roman" w:hAnsi="Times New Roman" w:cs="Times New Roman"/>
          <w:sz w:val="24"/>
          <w:szCs w:val="24"/>
        </w:rPr>
        <w:t>01</w:t>
      </w:r>
      <w:r w:rsidRPr="00512732">
        <w:rPr>
          <w:rFonts w:ascii="Times New Roman" w:hAnsi="Times New Roman" w:cs="Times New Roman"/>
          <w:sz w:val="24"/>
          <w:szCs w:val="24"/>
        </w:rPr>
        <w:t>)</w:t>
      </w:r>
      <w:r>
        <w:rPr>
          <w:rFonts w:ascii="Times New Roman" w:eastAsia="Times New Roman" w:hAnsi="Times New Roman" w:cs="Times New Roman"/>
          <w:sz w:val="24"/>
          <w:szCs w:val="24"/>
        </w:rPr>
        <w:t xml:space="preserve">. The </w:t>
      </w:r>
      <w:r w:rsidRPr="004F3E51">
        <w:rPr>
          <w:rFonts w:ascii="Times New Roman" w:eastAsia="Times New Roman" w:hAnsi="Times New Roman" w:cs="Times New Roman"/>
          <w:sz w:val="24"/>
          <w:szCs w:val="24"/>
        </w:rPr>
        <w:t xml:space="preserve">positive anomaly in the </w:t>
      </w:r>
      <w:r w:rsidRPr="004F3E51">
        <w:rPr>
          <w:rFonts w:ascii="Times New Roman" w:eastAsia="Times New Roman" w:hAnsi="Times New Roman" w:cs="Times New Roman"/>
          <w:i/>
          <w:sz w:val="24"/>
          <w:szCs w:val="24"/>
        </w:rPr>
        <w:t>β</w:t>
      </w:r>
      <w:r>
        <w:rPr>
          <w:rFonts w:ascii="Times New Roman" w:eastAsia="Times New Roman" w:hAnsi="Times New Roman" w:cs="Times New Roman"/>
          <w:i/>
          <w:sz w:val="24"/>
          <w:szCs w:val="24"/>
        </w:rPr>
        <w:t xml:space="preserve"> </w:t>
      </w:r>
      <w:r>
        <w:rPr>
          <w:rFonts w:ascii="Times New Roman" w:eastAsia="Times New Roman" w:hAnsi="Times New Roman" w:cs="Times New Roman"/>
          <w:iCs/>
          <w:sz w:val="24"/>
          <w:szCs w:val="24"/>
        </w:rPr>
        <w:t>suggested</w:t>
      </w:r>
      <w:r>
        <w:rPr>
          <w:rFonts w:ascii="Times New Roman" w:eastAsia="Times New Roman" w:hAnsi="Times New Roman" w:cs="Times New Roman"/>
          <w:sz w:val="24"/>
          <w:szCs w:val="24"/>
        </w:rPr>
        <w:t xml:space="preserve"> stomatal closure </w:t>
      </w:r>
      <w:r w:rsidRPr="00320766">
        <w:rPr>
          <w:rFonts w:ascii="Times New Roman" w:hAnsi="Times New Roman" w:cs="Times New Roman"/>
          <w:sz w:val="24"/>
          <w:szCs w:val="24"/>
        </w:rPr>
        <w:t>in spring 2020</w:t>
      </w:r>
      <w:r>
        <w:rPr>
          <w:rFonts w:ascii="Times New Roman" w:hAnsi="Times New Roman" w:cs="Times New Roman"/>
          <w:sz w:val="24"/>
          <w:szCs w:val="24"/>
        </w:rPr>
        <w:t>, which c</w:t>
      </w:r>
      <w:r>
        <w:rPr>
          <w:rFonts w:ascii="Times New Roman" w:eastAsia="Times New Roman" w:hAnsi="Times New Roman" w:cs="Times New Roman"/>
          <w:iCs/>
          <w:sz w:val="24"/>
          <w:szCs w:val="24"/>
        </w:rPr>
        <w:t>orresponded to higher VPD (</w:t>
      </w:r>
      <w:r w:rsidRPr="009D2D79">
        <w:rPr>
          <w:rFonts w:ascii="Times New Roman" w:eastAsia="Times New Roman" w:hAnsi="Times New Roman" w:cs="Times New Roman"/>
          <w:sz w:val="24"/>
          <w:szCs w:val="24"/>
        </w:rPr>
        <w:t>+0.0</w:t>
      </w:r>
      <w:r>
        <w:rPr>
          <w:rFonts w:ascii="Times New Roman" w:eastAsia="Times New Roman" w:hAnsi="Times New Roman" w:cs="Times New Roman"/>
          <w:sz w:val="24"/>
          <w:szCs w:val="24"/>
        </w:rPr>
        <w:t>4</w:t>
      </w:r>
      <w:r w:rsidRPr="009D2D79">
        <w:rPr>
          <w:rFonts w:ascii="Times New Roman" w:eastAsia="Times New Roman" w:hAnsi="Times New Roman" w:cs="Times New Roman"/>
          <w:sz w:val="24"/>
          <w:szCs w:val="24"/>
        </w:rPr>
        <w:t xml:space="preserve"> ± 0.0</w:t>
      </w:r>
      <w:r>
        <w:rPr>
          <w:rFonts w:ascii="Times New Roman" w:eastAsia="Times New Roman" w:hAnsi="Times New Roman" w:cs="Times New Roman"/>
          <w:sz w:val="24"/>
          <w:szCs w:val="24"/>
        </w:rPr>
        <w:t>5</w:t>
      </w:r>
      <w:r w:rsidRPr="009D2D79">
        <w:rPr>
          <w:rFonts w:ascii="Times New Roman" w:eastAsia="Times New Roman" w:hAnsi="Times New Roman" w:cs="Times New Roman"/>
          <w:sz w:val="24"/>
          <w:szCs w:val="24"/>
        </w:rPr>
        <w:t xml:space="preserve"> kPa</w:t>
      </w:r>
      <w:r>
        <w:rPr>
          <w:rFonts w:ascii="Times New Roman" w:eastAsia="Times New Roman" w:hAnsi="Times New Roman" w:cs="Times New Roman"/>
          <w:sz w:val="24"/>
          <w:szCs w:val="24"/>
        </w:rPr>
        <w:t xml:space="preserve">, </w:t>
      </w:r>
      <w:r w:rsidRPr="009D2D79">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Pr="009D2D79">
        <w:rPr>
          <w:rFonts w:ascii="Times New Roman" w:eastAsia="Times New Roman" w:hAnsi="Times New Roman" w:cs="Times New Roman"/>
          <w:sz w:val="24"/>
          <w:szCs w:val="24"/>
        </w:rPr>
        <w:t>%</w:t>
      </w:r>
      <w:r w:rsidRPr="00512732">
        <w:rPr>
          <w:rFonts w:ascii="Times New Roman" w:hAnsi="Times New Roman" w:cs="Times New Roman"/>
          <w:sz w:val="24"/>
          <w:szCs w:val="24"/>
        </w:rPr>
        <w:t xml:space="preserve">, </w:t>
      </w:r>
      <w:r w:rsidRPr="00512732">
        <w:rPr>
          <w:rFonts w:ascii="Times New Roman" w:hAnsi="Times New Roman" w:cs="Times New Roman"/>
          <w:i/>
          <w:iCs/>
          <w:sz w:val="24"/>
          <w:szCs w:val="24"/>
        </w:rPr>
        <w:t>p</w:t>
      </w:r>
      <w:r w:rsidRPr="00512732">
        <w:rPr>
          <w:rFonts w:ascii="Times New Roman" w:hAnsi="Times New Roman" w:cs="Times New Roman"/>
          <w:sz w:val="24"/>
          <w:szCs w:val="24"/>
        </w:rPr>
        <w:t xml:space="preserve"> </w:t>
      </w:r>
      <w:r>
        <w:rPr>
          <w:rFonts w:ascii="Times New Roman" w:hAnsi="Times New Roman" w:cs="Times New Roman"/>
          <w:sz w:val="24"/>
          <w:szCs w:val="24"/>
        </w:rPr>
        <w:t>=</w:t>
      </w:r>
      <w:r w:rsidRPr="00512732">
        <w:rPr>
          <w:rFonts w:ascii="Times New Roman" w:hAnsi="Times New Roman" w:cs="Times New Roman"/>
          <w:sz w:val="24"/>
          <w:szCs w:val="24"/>
        </w:rPr>
        <w:t xml:space="preserve"> .0</w:t>
      </w:r>
      <w:r>
        <w:rPr>
          <w:rFonts w:ascii="Times New Roman" w:hAnsi="Times New Roman" w:cs="Times New Roman"/>
          <w:sz w:val="24"/>
          <w:szCs w:val="24"/>
        </w:rPr>
        <w:t>1</w:t>
      </w:r>
      <w:r w:rsidRPr="009D2D79">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and lower SWC (</w:t>
      </w:r>
      <w:r w:rsidRPr="00726D0F">
        <w:rPr>
          <w:rFonts w:ascii="Times New Roman" w:eastAsia="Times New Roman" w:hAnsi="Times New Roman" w:cs="Times New Roman"/>
          <w:sz w:val="24"/>
          <w:szCs w:val="24"/>
        </w:rPr>
        <w:t>−0.0</w:t>
      </w:r>
      <w:r>
        <w:rPr>
          <w:rFonts w:ascii="Times New Roman" w:eastAsia="Times New Roman" w:hAnsi="Times New Roman" w:cs="Times New Roman"/>
          <w:sz w:val="24"/>
          <w:szCs w:val="24"/>
        </w:rPr>
        <w:t>6</w:t>
      </w:r>
      <w:r w:rsidRPr="00726D0F">
        <w:rPr>
          <w:rFonts w:ascii="Times New Roman" w:eastAsia="Times New Roman" w:hAnsi="Times New Roman" w:cs="Times New Roman"/>
          <w:sz w:val="24"/>
          <w:szCs w:val="24"/>
        </w:rPr>
        <w:t xml:space="preserve"> ± 0.06 </w:t>
      </w:r>
      <w:r w:rsidRPr="003962B2">
        <w:rPr>
          <w:rFonts w:ascii="Times New Roman" w:eastAsia="Times New Roman" w:hAnsi="Times New Roman" w:cs="Times New Roman"/>
          <w:sz w:val="24"/>
          <w:szCs w:val="24"/>
        </w:rPr>
        <w:t>m</w:t>
      </w:r>
      <w:r w:rsidRPr="003962B2">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sidRPr="003962B2">
        <w:rPr>
          <w:rFonts w:ascii="Times New Roman" w:eastAsia="Times New Roman" w:hAnsi="Times New Roman" w:cs="Times New Roman"/>
          <w:sz w:val="24"/>
          <w:szCs w:val="24"/>
        </w:rPr>
        <w:t>m</w:t>
      </w:r>
      <w:r w:rsidRPr="009D2D79">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r w:rsidRPr="00726D0F">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726D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Furthermore, the mean </w:t>
      </w:r>
      <w:r w:rsidRPr="004F3E51">
        <w:rPr>
          <w:rFonts w:ascii="Times New Roman" w:eastAsia="Times New Roman" w:hAnsi="Times New Roman" w:cs="Times New Roman"/>
          <w:iCs/>
          <w:color w:val="000000" w:themeColor="text1"/>
          <w:kern w:val="24"/>
          <w:sz w:val="24"/>
          <w:szCs w:val="24"/>
        </w:rPr>
        <w:t xml:space="preserve">canopy </w:t>
      </w:r>
      <w:r>
        <w:rPr>
          <w:rFonts w:ascii="Times New Roman" w:eastAsia="Times New Roman" w:hAnsi="Times New Roman" w:cs="Times New Roman"/>
          <w:iCs/>
          <w:color w:val="000000" w:themeColor="text1"/>
          <w:kern w:val="24"/>
          <w:sz w:val="24"/>
          <w:szCs w:val="24"/>
        </w:rPr>
        <w:t>radiation</w:t>
      </w:r>
      <w:r w:rsidRPr="004F3E51">
        <w:rPr>
          <w:rFonts w:ascii="Times New Roman" w:eastAsia="Times New Roman" w:hAnsi="Times New Roman" w:cs="Times New Roman"/>
          <w:iCs/>
          <w:color w:val="000000" w:themeColor="text1"/>
          <w:kern w:val="24"/>
          <w:sz w:val="24"/>
          <w:szCs w:val="24"/>
        </w:rPr>
        <w:t>-use efficiency</w:t>
      </w:r>
      <w:r>
        <w:rPr>
          <w:rFonts w:ascii="Times New Roman" w:eastAsia="Times New Roman" w:hAnsi="Times New Roman" w:cs="Times New Roman"/>
          <w:iCs/>
          <w:color w:val="000000" w:themeColor="text1"/>
          <w:kern w:val="24"/>
          <w:sz w:val="24"/>
          <w:szCs w:val="24"/>
        </w:rPr>
        <w:t xml:space="preserve"> (</w:t>
      </w:r>
      <w:r w:rsidRPr="004F3E51">
        <w:rPr>
          <w:rFonts w:ascii="Times New Roman" w:eastAsia="Times New Roman" w:hAnsi="Times New Roman" w:cs="Times New Roman"/>
          <w:i/>
          <w:iCs/>
          <w:color w:val="000000" w:themeColor="text1"/>
          <w:kern w:val="24"/>
          <w:sz w:val="24"/>
          <w:szCs w:val="24"/>
        </w:rPr>
        <w:t>α</w:t>
      </w:r>
      <w:r>
        <w:rPr>
          <w:rFonts w:ascii="Times New Roman" w:eastAsia="Times New Roman" w:hAnsi="Times New Roman" w:cs="Times New Roman"/>
          <w:color w:val="000000" w:themeColor="text1"/>
          <w:kern w:val="24"/>
          <w:sz w:val="24"/>
          <w:szCs w:val="24"/>
        </w:rPr>
        <w:t>) and the i</w:t>
      </w:r>
      <w:r w:rsidRPr="007C6AC8">
        <w:rPr>
          <w:rFonts w:ascii="Times New Roman" w:eastAsia="Times New Roman" w:hAnsi="Times New Roman" w:cs="Times New Roman"/>
          <w:color w:val="000000" w:themeColor="text1"/>
          <w:kern w:val="24"/>
          <w:sz w:val="24"/>
          <w:szCs w:val="24"/>
        </w:rPr>
        <w:t xml:space="preserve">nstantaneous maximal rate of photosynthesis </w:t>
      </w:r>
      <w:r>
        <w:rPr>
          <w:rFonts w:ascii="Times New Roman" w:eastAsia="Times New Roman" w:hAnsi="Times New Roman" w:cs="Times New Roman"/>
          <w:color w:val="000000" w:themeColor="text1"/>
          <w:kern w:val="24"/>
          <w:sz w:val="24"/>
          <w:szCs w:val="24"/>
        </w:rPr>
        <w:t>(</w:t>
      </w:r>
      <w:r w:rsidRPr="004F3E51">
        <w:rPr>
          <w:rFonts w:ascii="Times New Roman" w:eastAsia="Times New Roman" w:hAnsi="Times New Roman" w:cs="Times New Roman"/>
          <w:i/>
          <w:iCs/>
          <w:color w:val="000000" w:themeColor="text1"/>
          <w:kern w:val="24"/>
          <w:sz w:val="24"/>
          <w:szCs w:val="24"/>
        </w:rPr>
        <w:t>P</w:t>
      </w:r>
      <w:r w:rsidRPr="004F3E51">
        <w:rPr>
          <w:rFonts w:ascii="Times New Roman" w:eastAsia="Times New Roman" w:hAnsi="Times New Roman" w:cs="Times New Roman"/>
          <w:i/>
          <w:iCs/>
          <w:color w:val="000000" w:themeColor="text1"/>
          <w:kern w:val="24"/>
          <w:sz w:val="24"/>
          <w:szCs w:val="24"/>
          <w:vertAlign w:val="subscript"/>
        </w:rPr>
        <w:t>max</w:t>
      </w:r>
      <w:r>
        <w:rPr>
          <w:rFonts w:ascii="Times New Roman" w:eastAsia="Times New Roman" w:hAnsi="Times New Roman" w:cs="Times New Roman"/>
          <w:color w:val="000000" w:themeColor="text1"/>
          <w:kern w:val="24"/>
          <w:sz w:val="24"/>
          <w:szCs w:val="24"/>
        </w:rPr>
        <w:t xml:space="preserve">) decreased by </w:t>
      </w:r>
      <w:r>
        <w:rPr>
          <w:rFonts w:ascii="Times New Roman" w:eastAsia="Times New Roman" w:hAnsi="Times New Roman" w:cs="Times New Roman"/>
          <w:sz w:val="24"/>
          <w:szCs w:val="24"/>
        </w:rPr>
        <w:t>0.01</w:t>
      </w:r>
      <w:r w:rsidRPr="004F3E5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0.02</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Cs/>
          <w:color w:val="000000" w:themeColor="text1"/>
          <w:kern w:val="24"/>
          <w:sz w:val="24"/>
          <w:szCs w:val="24"/>
        </w:rPr>
        <w:t>µmol</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CO</w:t>
      </w:r>
      <w:r w:rsidRPr="004F3E51">
        <w:rPr>
          <w:rFonts w:ascii="Times New Roman" w:eastAsia="Times New Roman" w:hAnsi="Times New Roman" w:cs="Times New Roman"/>
          <w:iCs/>
          <w:color w:val="000000" w:themeColor="text1"/>
          <w:kern w:val="24"/>
          <w:sz w:val="24"/>
          <w:szCs w:val="24"/>
          <w:vertAlign w:val="subscript"/>
        </w:rPr>
        <w:t>2</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J</w:t>
      </w:r>
      <w:r w:rsidRPr="004F3E51">
        <w:rPr>
          <w:rFonts w:ascii="Times New Roman" w:eastAsia="Times New Roman" w:hAnsi="Times New Roman" w:cs="Times New Roman"/>
          <w:iCs/>
          <w:color w:val="000000" w:themeColor="text1"/>
          <w:kern w:val="24"/>
          <w:sz w:val="24"/>
          <w:szCs w:val="24"/>
          <w:vertAlign w:val="superscript"/>
        </w:rPr>
        <w:t>−1</w:t>
      </w:r>
      <w:r>
        <w:rPr>
          <w:rFonts w:ascii="Times New Roman" w:eastAsia="Times New Roman" w:hAnsi="Times New Roman" w:cs="Times New Roman"/>
          <w:iCs/>
          <w:color w:val="000000" w:themeColor="text1"/>
          <w:kern w:val="24"/>
          <w:sz w:val="24"/>
          <w:szCs w:val="24"/>
        </w:rPr>
        <w:t xml:space="preserve"> (</w:t>
      </w:r>
      <w:r>
        <w:rPr>
          <w:rFonts w:ascii="Times New Roman" w:eastAsia="Times New Roman" w:hAnsi="Times New Roman" w:cs="Times New Roman"/>
          <w:sz w:val="24"/>
          <w:szCs w:val="24"/>
        </w:rPr>
        <w:t>−14</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.0</w:t>
      </w:r>
      <w:r>
        <w:rPr>
          <w:rFonts w:ascii="Times New Roman" w:eastAsia="Times New Roman" w:hAnsi="Times New Roman" w:cs="Times New Roman"/>
          <w:sz w:val="24"/>
          <w:szCs w:val="24"/>
        </w:rPr>
        <w:t>7</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3.5 </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3.3</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Cs/>
          <w:color w:val="000000" w:themeColor="text1"/>
          <w:kern w:val="24"/>
          <w:sz w:val="24"/>
          <w:szCs w:val="24"/>
        </w:rPr>
        <w:t>μmol</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CO</w:t>
      </w:r>
      <w:r w:rsidRPr="004F3E51">
        <w:rPr>
          <w:rFonts w:ascii="Times New Roman" w:eastAsia="Times New Roman" w:hAnsi="Times New Roman" w:cs="Times New Roman"/>
          <w:iCs/>
          <w:color w:val="000000" w:themeColor="text1"/>
          <w:kern w:val="24"/>
          <w:sz w:val="24"/>
          <w:szCs w:val="24"/>
          <w:vertAlign w:val="subscript"/>
        </w:rPr>
        <w:t>2</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m</w:t>
      </w:r>
      <w:r w:rsidRPr="004F3E51">
        <w:rPr>
          <w:rFonts w:ascii="Times New Roman" w:eastAsia="Times New Roman" w:hAnsi="Times New Roman" w:cs="Times New Roman"/>
          <w:iCs/>
          <w:color w:val="000000" w:themeColor="text1"/>
          <w:kern w:val="24"/>
          <w:sz w:val="24"/>
          <w:szCs w:val="24"/>
          <w:vertAlign w:val="superscript"/>
        </w:rPr>
        <w:t>−2</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s</w:t>
      </w:r>
      <w:r w:rsidRPr="004F3E51">
        <w:rPr>
          <w:rFonts w:ascii="Times New Roman" w:eastAsia="Times New Roman" w:hAnsi="Times New Roman" w:cs="Times New Roman"/>
          <w:iCs/>
          <w:color w:val="000000" w:themeColor="text1"/>
          <w:kern w:val="24"/>
          <w:sz w:val="24"/>
          <w:szCs w:val="24"/>
          <w:vertAlign w:val="superscript"/>
        </w:rPr>
        <w:t>−1</w:t>
      </w:r>
      <w:r>
        <w:rPr>
          <w:rFonts w:ascii="Times New Roman" w:eastAsia="Times New Roman" w:hAnsi="Times New Roman" w:cs="Times New Roman"/>
          <w:iCs/>
          <w:color w:val="000000" w:themeColor="text1"/>
          <w:kern w:val="24"/>
          <w:sz w:val="24"/>
          <w:szCs w:val="24"/>
        </w:rPr>
        <w:t xml:space="preserve"> (</w:t>
      </w:r>
      <w:r>
        <w:rPr>
          <w:rFonts w:ascii="Times New Roman" w:eastAsia="Times New Roman" w:hAnsi="Times New Roman" w:cs="Times New Roman"/>
          <w:sz w:val="24"/>
          <w:szCs w:val="24"/>
        </w:rPr>
        <w:t>−20</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004</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respectively, at these sites. S</w:t>
      </w:r>
      <w:r w:rsidRPr="0009568A">
        <w:rPr>
          <w:rFonts w:ascii="Times New Roman" w:eastAsia="Times New Roman" w:hAnsi="Times New Roman" w:cs="Times New Roman"/>
          <w:sz w:val="24"/>
          <w:szCs w:val="24"/>
        </w:rPr>
        <w:t xml:space="preserve">pecifically, </w:t>
      </w:r>
      <w:r>
        <w:rPr>
          <w:rFonts w:ascii="Times New Roman" w:eastAsia="Times New Roman" w:hAnsi="Times New Roman" w:cs="Times New Roman"/>
          <w:sz w:val="24"/>
          <w:szCs w:val="24"/>
        </w:rPr>
        <w:t xml:space="preserve">the </w:t>
      </w:r>
      <w:r w:rsidRPr="0009568A">
        <w:rPr>
          <w:rFonts w:ascii="Times New Roman" w:eastAsia="Times New Roman" w:hAnsi="Times New Roman" w:cs="Times New Roman"/>
          <w:sz w:val="24"/>
          <w:szCs w:val="24"/>
        </w:rPr>
        <w:t xml:space="preserve">weakening GPP was concurrent with a continuous reduction in SWC at </w:t>
      </w:r>
      <w:r w:rsidRPr="0009568A">
        <w:rPr>
          <w:rFonts w:ascii="Times New Roman" w:hAnsi="Times New Roman" w:cs="Times New Roman"/>
          <w:sz w:val="24"/>
          <w:szCs w:val="24"/>
        </w:rPr>
        <w:t xml:space="preserve">five forests (CH-Dav, DE-Hai, DE-Hzd, DE-Obe and DE-Tha) from summer 2018 </w:t>
      </w:r>
      <w:r>
        <w:rPr>
          <w:rFonts w:ascii="Times New Roman" w:hAnsi="Times New Roman" w:cs="Times New Roman"/>
          <w:sz w:val="24"/>
          <w:szCs w:val="24"/>
        </w:rPr>
        <w:t>to</w:t>
      </w:r>
      <w:r w:rsidRPr="0009568A">
        <w:rPr>
          <w:rFonts w:ascii="Times New Roman" w:hAnsi="Times New Roman" w:cs="Times New Roman"/>
          <w:sz w:val="24"/>
          <w:szCs w:val="24"/>
        </w:rPr>
        <w:t xml:space="preserve"> spring 2020 where they reached their minimum (Fig. S2). In addition to precipitation deficits (−45 ± 65 mm, −19%, </w:t>
      </w:r>
      <w:r w:rsidRPr="0009568A">
        <w:rPr>
          <w:rFonts w:ascii="Times New Roman" w:hAnsi="Times New Roman" w:cs="Times New Roman"/>
          <w:i/>
          <w:iCs/>
          <w:sz w:val="24"/>
          <w:szCs w:val="24"/>
        </w:rPr>
        <w:t>p</w:t>
      </w:r>
      <w:r w:rsidRPr="0009568A">
        <w:rPr>
          <w:rFonts w:ascii="Times New Roman" w:hAnsi="Times New Roman" w:cs="Times New Roman"/>
          <w:sz w:val="24"/>
          <w:szCs w:val="24"/>
        </w:rPr>
        <w:t xml:space="preserve"> = .20), evapotranspiration declined by 44 ± 45 mm (</w:t>
      </w:r>
      <w:r>
        <w:rPr>
          <w:rFonts w:ascii="Times New Roman" w:hAnsi="Times New Roman" w:cs="Times New Roman"/>
          <w:sz w:val="24"/>
          <w:szCs w:val="24"/>
        </w:rPr>
        <w:t>−</w:t>
      </w:r>
      <w:r w:rsidRPr="0009568A">
        <w:rPr>
          <w:rFonts w:ascii="Times New Roman" w:hAnsi="Times New Roman" w:cs="Times New Roman"/>
          <w:sz w:val="24"/>
          <w:szCs w:val="24"/>
        </w:rPr>
        <w:t xml:space="preserve">24%, </w:t>
      </w:r>
      <w:r w:rsidRPr="0009568A">
        <w:rPr>
          <w:rFonts w:ascii="Times New Roman" w:hAnsi="Times New Roman" w:cs="Times New Roman"/>
          <w:i/>
          <w:iCs/>
          <w:sz w:val="24"/>
          <w:szCs w:val="24"/>
        </w:rPr>
        <w:t>p</w:t>
      </w:r>
      <w:r w:rsidRPr="0009568A">
        <w:rPr>
          <w:rFonts w:ascii="Times New Roman" w:hAnsi="Times New Roman" w:cs="Times New Roman"/>
          <w:sz w:val="24"/>
          <w:szCs w:val="24"/>
        </w:rPr>
        <w:t xml:space="preserve"> = .09) at these </w:t>
      </w:r>
      <w:r>
        <w:rPr>
          <w:rFonts w:ascii="Times New Roman" w:hAnsi="Times New Roman" w:cs="Times New Roman"/>
          <w:sz w:val="24"/>
          <w:szCs w:val="24"/>
        </w:rPr>
        <w:t xml:space="preserve">five </w:t>
      </w:r>
      <w:r w:rsidRPr="0009568A">
        <w:rPr>
          <w:rFonts w:ascii="Times New Roman" w:hAnsi="Times New Roman" w:cs="Times New Roman"/>
          <w:sz w:val="24"/>
          <w:szCs w:val="24"/>
        </w:rPr>
        <w:t xml:space="preserve">sites. </w:t>
      </w:r>
      <w:r>
        <w:rPr>
          <w:rFonts w:ascii="Times New Roman" w:hAnsi="Times New Roman" w:cs="Times New Roman"/>
          <w:sz w:val="24"/>
          <w:szCs w:val="24"/>
        </w:rPr>
        <w:t xml:space="preserve">Among the sites in this group with </w:t>
      </w:r>
      <w:r>
        <w:rPr>
          <w:rFonts w:ascii="Times New Roman" w:eastAsia="Times New Roman" w:hAnsi="Times New Roman" w:cs="Times New Roman"/>
          <w:sz w:val="24"/>
          <w:szCs w:val="24"/>
        </w:rPr>
        <w:t xml:space="preserve">a </w:t>
      </w:r>
      <w:r w:rsidRPr="0009568A">
        <w:rPr>
          <w:rFonts w:ascii="Times New Roman" w:eastAsia="Times New Roman" w:hAnsi="Times New Roman" w:cs="Times New Roman"/>
          <w:sz w:val="24"/>
          <w:szCs w:val="24"/>
        </w:rPr>
        <w:t>negative GPP anomaly</w:t>
      </w:r>
      <w:r>
        <w:rPr>
          <w:rFonts w:ascii="Times New Roman" w:eastAsia="Times New Roman" w:hAnsi="Times New Roman" w:cs="Times New Roman"/>
          <w:sz w:val="24"/>
          <w:szCs w:val="24"/>
        </w:rPr>
        <w:t>,</w:t>
      </w:r>
      <w:r w:rsidRPr="0009568A">
        <w:rPr>
          <w:rFonts w:ascii="Times New Roman" w:eastAsia="Times New Roman" w:hAnsi="Times New Roman" w:cs="Times New Roman"/>
          <w:sz w:val="24"/>
          <w:szCs w:val="24"/>
        </w:rPr>
        <w:t xml:space="preserve"> the boreal spruce forest</w:t>
      </w:r>
      <w:r>
        <w:rPr>
          <w:rFonts w:ascii="Times New Roman" w:eastAsia="Times New Roman" w:hAnsi="Times New Roman" w:cs="Times New Roman"/>
          <w:sz w:val="24"/>
          <w:szCs w:val="24"/>
        </w:rPr>
        <w:t xml:space="preserve"> (</w:t>
      </w:r>
      <w:r w:rsidRPr="0009568A">
        <w:rPr>
          <w:rFonts w:ascii="Times New Roman" w:eastAsia="Times New Roman" w:hAnsi="Times New Roman" w:cs="Times New Roman"/>
          <w:sz w:val="24"/>
          <w:szCs w:val="24"/>
        </w:rPr>
        <w:t>RU-Fy2</w:t>
      </w:r>
      <w:r>
        <w:rPr>
          <w:rFonts w:ascii="Times New Roman" w:eastAsia="Times New Roman" w:hAnsi="Times New Roman" w:cs="Times New Roman"/>
          <w:sz w:val="24"/>
          <w:szCs w:val="24"/>
        </w:rPr>
        <w:t>) is the only site</w:t>
      </w:r>
      <w:r w:rsidRPr="0009568A">
        <w:rPr>
          <w:rFonts w:ascii="Times New Roman" w:eastAsia="Times New Roman" w:hAnsi="Times New Roman" w:cs="Times New Roman"/>
          <w:sz w:val="24"/>
          <w:szCs w:val="24"/>
        </w:rPr>
        <w:t xml:space="preserve"> where the relative change of </w:t>
      </w:r>
      <w:r w:rsidRPr="0009568A">
        <w:rPr>
          <w:rFonts w:ascii="Times New Roman" w:eastAsia="Times New Roman" w:hAnsi="Times New Roman" w:cs="Times New Roman"/>
          <w:i/>
          <w:sz w:val="24"/>
          <w:szCs w:val="24"/>
        </w:rPr>
        <w:t>β</w:t>
      </w:r>
      <w:r w:rsidRPr="0009568A">
        <w:rPr>
          <w:rFonts w:ascii="Times New Roman" w:eastAsia="Times New Roman" w:hAnsi="Times New Roman" w:cs="Times New Roman"/>
          <w:iCs/>
          <w:sz w:val="24"/>
          <w:szCs w:val="24"/>
        </w:rPr>
        <w:t xml:space="preserve"> was 5.9% (which is </w:t>
      </w:r>
      <w:r>
        <w:rPr>
          <w:rFonts w:ascii="Times New Roman" w:eastAsia="Times New Roman" w:hAnsi="Times New Roman" w:cs="Times New Roman"/>
          <w:iCs/>
          <w:sz w:val="24"/>
          <w:szCs w:val="24"/>
        </w:rPr>
        <w:t xml:space="preserve">lower than the other </w:t>
      </w:r>
      <w:r w:rsidRPr="0009568A">
        <w:rPr>
          <w:rFonts w:ascii="Times New Roman" w:eastAsia="Times New Roman" w:hAnsi="Times New Roman" w:cs="Times New Roman"/>
          <w:iCs/>
          <w:sz w:val="24"/>
          <w:szCs w:val="24"/>
        </w:rPr>
        <w:t xml:space="preserve">sites that experienced </w:t>
      </w:r>
      <w:r w:rsidRPr="00942504">
        <w:rPr>
          <w:rFonts w:ascii="Times New Roman" w:eastAsia="Times New Roman" w:hAnsi="Times New Roman" w:cs="Times New Roman"/>
          <w:iCs/>
          <w:sz w:val="24"/>
          <w:szCs w:val="24"/>
        </w:rPr>
        <w:t>∆</w:t>
      </w:r>
      <w:r w:rsidRPr="0009568A">
        <w:rPr>
          <w:rFonts w:ascii="Times New Roman" w:eastAsia="Times New Roman" w:hAnsi="Times New Roman" w:cs="Times New Roman"/>
          <w:i/>
          <w:sz w:val="24"/>
          <w:szCs w:val="24"/>
        </w:rPr>
        <w:t>β</w:t>
      </w:r>
      <w:r w:rsidRPr="0009568A">
        <w:rPr>
          <w:rFonts w:ascii="Times New Roman" w:eastAsia="Times New Roman" w:hAnsi="Times New Roman" w:cs="Times New Roman"/>
          <w:iCs/>
          <w:sz w:val="24"/>
          <w:szCs w:val="24"/>
        </w:rPr>
        <w:t xml:space="preserve"> &gt; 10%)</w:t>
      </w:r>
      <w:r>
        <w:rPr>
          <w:rFonts w:ascii="Times New Roman" w:eastAsia="Times New Roman" w:hAnsi="Times New Roman" w:cs="Times New Roman"/>
          <w:iCs/>
          <w:sz w:val="24"/>
          <w:szCs w:val="24"/>
        </w:rPr>
        <w:t>. In addition,</w:t>
      </w:r>
      <w:r w:rsidRPr="0009568A">
        <w:rPr>
          <w:rFonts w:ascii="Times New Roman" w:eastAsia="Times New Roman" w:hAnsi="Times New Roman" w:cs="Times New Roman"/>
          <w:iCs/>
          <w:sz w:val="24"/>
          <w:szCs w:val="24"/>
        </w:rPr>
        <w:t xml:space="preserve"> </w:t>
      </w:r>
      <w:r w:rsidRPr="0009568A">
        <w:rPr>
          <w:rFonts w:ascii="Times New Roman" w:eastAsia="Times New Roman" w:hAnsi="Times New Roman" w:cs="Times New Roman"/>
          <w:sz w:val="24"/>
          <w:szCs w:val="24"/>
        </w:rPr>
        <w:t>shortwave irradiance (SW</w:t>
      </w:r>
      <w:r w:rsidRPr="0009568A">
        <w:rPr>
          <w:rFonts w:ascii="Times New Roman" w:eastAsia="Times New Roman" w:hAnsi="Times New Roman" w:cs="Times New Roman"/>
          <w:sz w:val="24"/>
          <w:szCs w:val="24"/>
          <w:vertAlign w:val="subscript"/>
        </w:rPr>
        <w:t>in</w:t>
      </w:r>
      <w:r w:rsidRPr="0009568A">
        <w:rPr>
          <w:rFonts w:ascii="Times New Roman" w:eastAsia="Times New Roman" w:hAnsi="Times New Roman" w:cs="Times New Roman"/>
          <w:sz w:val="24"/>
          <w:szCs w:val="24"/>
        </w:rPr>
        <w:t>) decreased by −5.9 W m</w:t>
      </w:r>
      <w:r w:rsidRPr="0009568A">
        <w:rPr>
          <w:rFonts w:ascii="Times New Roman" w:eastAsia="Times New Roman" w:hAnsi="Times New Roman" w:cs="Times New Roman"/>
          <w:sz w:val="24"/>
          <w:szCs w:val="24"/>
          <w:vertAlign w:val="superscript"/>
        </w:rPr>
        <w:t>−2</w:t>
      </w:r>
      <w:r w:rsidRPr="0009568A">
        <w:rPr>
          <w:rFonts w:ascii="Times New Roman" w:eastAsia="Times New Roman" w:hAnsi="Times New Roman" w:cs="Times New Roman"/>
          <w:sz w:val="24"/>
          <w:szCs w:val="24"/>
        </w:rPr>
        <w:t xml:space="preserve"> (−3.3%, </w:t>
      </w:r>
      <w:r w:rsidRPr="0009568A">
        <w:rPr>
          <w:rFonts w:ascii="Times New Roman" w:eastAsia="Times New Roman" w:hAnsi="Times New Roman" w:cs="Times New Roman"/>
          <w:i/>
          <w:sz w:val="24"/>
          <w:szCs w:val="24"/>
        </w:rPr>
        <w:t>p</w:t>
      </w:r>
      <w:r w:rsidRPr="0009568A">
        <w:rPr>
          <w:rFonts w:ascii="Times New Roman" w:eastAsia="Times New Roman" w:hAnsi="Times New Roman" w:cs="Times New Roman"/>
          <w:sz w:val="24"/>
          <w:szCs w:val="24"/>
        </w:rPr>
        <w:t xml:space="preserve"> = .37) co</w:t>
      </w:r>
      <w:r>
        <w:rPr>
          <w:rFonts w:ascii="Times New Roman" w:eastAsia="Times New Roman" w:hAnsi="Times New Roman" w:cs="Times New Roman"/>
          <w:sz w:val="24"/>
          <w:szCs w:val="24"/>
        </w:rPr>
        <w:t>inciding</w:t>
      </w:r>
      <w:r w:rsidRPr="0009568A">
        <w:rPr>
          <w:rFonts w:ascii="Times New Roman" w:eastAsia="Times New Roman" w:hAnsi="Times New Roman" w:cs="Times New Roman"/>
          <w:sz w:val="24"/>
          <w:szCs w:val="24"/>
        </w:rPr>
        <w:t xml:space="preserve"> with wetter weather (Δ</w:t>
      </w:r>
      <w:r w:rsidRPr="00356E15">
        <w:rPr>
          <w:rFonts w:ascii="Times New Roman" w:hAnsi="Times New Roman" w:cs="Times New Roman"/>
          <w:bCs/>
          <w:sz w:val="24"/>
          <w:szCs w:val="24"/>
        </w:rPr>
        <w:t>P</w:t>
      </w:r>
      <w:r w:rsidRPr="00356E15">
        <w:rPr>
          <w:rFonts w:ascii="Times New Roman" w:hAnsi="Times New Roman" w:cs="Times New Roman"/>
          <w:bCs/>
          <w:sz w:val="24"/>
          <w:szCs w:val="24"/>
          <w:vertAlign w:val="subscript"/>
        </w:rPr>
        <w:t>tot</w:t>
      </w:r>
      <w:r w:rsidRPr="0009568A">
        <w:rPr>
          <w:rFonts w:ascii="Times New Roman" w:eastAsia="Times New Roman" w:hAnsi="Times New Roman" w:cs="Times New Roman"/>
          <w:sz w:val="24"/>
          <w:szCs w:val="24"/>
        </w:rPr>
        <w:t xml:space="preserve">: +30 mm, +13%, </w:t>
      </w:r>
      <w:r w:rsidRPr="0009568A">
        <w:rPr>
          <w:rFonts w:ascii="Times New Roman" w:eastAsia="Times New Roman" w:hAnsi="Times New Roman" w:cs="Times New Roman"/>
          <w:i/>
          <w:sz w:val="24"/>
          <w:szCs w:val="24"/>
        </w:rPr>
        <w:t>p</w:t>
      </w:r>
      <w:r w:rsidRPr="0009568A">
        <w:rPr>
          <w:rFonts w:ascii="Times New Roman" w:eastAsia="Times New Roman" w:hAnsi="Times New Roman" w:cs="Times New Roman"/>
          <w:sz w:val="24"/>
          <w:szCs w:val="24"/>
        </w:rPr>
        <w:t xml:space="preserve"> = .57).</w:t>
      </w:r>
    </w:p>
    <w:p w14:paraId="4EC6B4F2" w14:textId="77777777" w:rsidR="00103AF5" w:rsidRDefault="00103AF5" w:rsidP="00103AF5">
      <w:pPr>
        <w:numPr>
          <w:ilvl w:val="0"/>
          <w:numId w:val="1"/>
        </w:numPr>
        <w:snapToGrid w:val="0"/>
        <w:spacing w:after="0" w:line="480" w:lineRule="auto"/>
        <w:contextualSpacing/>
        <w:rPr>
          <w:rFonts w:ascii="Times New Roman" w:eastAsia="Times New Roman" w:hAnsi="Times New Roman" w:cs="Times New Roman"/>
          <w:sz w:val="24"/>
          <w:szCs w:val="24"/>
        </w:rPr>
      </w:pPr>
      <w:r w:rsidRPr="004F3E51">
        <w:rPr>
          <w:rFonts w:ascii="Times New Roman" w:eastAsia="Times New Roman" w:hAnsi="Times New Roman" w:cs="Times New Roman"/>
          <w:sz w:val="24"/>
          <w:szCs w:val="24"/>
        </w:rPr>
        <w:lastRenderedPageBreak/>
        <w:t xml:space="preserve">At </w:t>
      </w:r>
      <w:r>
        <w:rPr>
          <w:rFonts w:ascii="Times New Roman" w:eastAsia="Times New Roman" w:hAnsi="Times New Roman" w:cs="Times New Roman"/>
          <w:sz w:val="24"/>
          <w:szCs w:val="24"/>
        </w:rPr>
        <w:t xml:space="preserve">the </w:t>
      </w:r>
      <w:r w:rsidRPr="004F3E51">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4F3E51">
        <w:rPr>
          <w:rFonts w:ascii="Times New Roman" w:eastAsia="Times New Roman" w:hAnsi="Times New Roman" w:cs="Times New Roman"/>
          <w:sz w:val="24"/>
          <w:szCs w:val="24"/>
        </w:rPr>
        <w:t xml:space="preserve"> sites</w:t>
      </w:r>
      <w:r>
        <w:rPr>
          <w:rFonts w:ascii="Times New Roman" w:eastAsia="Times New Roman" w:hAnsi="Times New Roman" w:cs="Times New Roman"/>
          <w:sz w:val="24"/>
          <w:szCs w:val="24"/>
        </w:rPr>
        <w:t xml:space="preserve"> from Group 1</w:t>
      </w:r>
      <w:r w:rsidRPr="004F3E51">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rPr>
        <w:t>hich had</w:t>
      </w:r>
      <w:r w:rsidRPr="004F3E51">
        <w:rPr>
          <w:rFonts w:ascii="Times New Roman" w:eastAsia="Times New Roman" w:hAnsi="Times New Roman" w:cs="Times New Roman"/>
          <w:sz w:val="24"/>
          <w:szCs w:val="24"/>
        </w:rPr>
        <w:t xml:space="preserve"> a positive GPP anomaly, the </w:t>
      </w:r>
      <w:r>
        <w:rPr>
          <w:rFonts w:ascii="Times New Roman" w:eastAsia="Times New Roman" w:hAnsi="Times New Roman" w:cs="Times New Roman"/>
          <w:sz w:val="24"/>
          <w:szCs w:val="24"/>
        </w:rPr>
        <w:t xml:space="preserve">average increase in </w:t>
      </w:r>
      <w:r w:rsidRPr="004F3E51">
        <w:rPr>
          <w:rFonts w:ascii="Times New Roman" w:eastAsia="Times New Roman" w:hAnsi="Times New Roman" w:cs="Times New Roman"/>
          <w:i/>
          <w:sz w:val="24"/>
          <w:szCs w:val="24"/>
        </w:rPr>
        <w:t>β</w:t>
      </w:r>
      <w:r>
        <w:rPr>
          <w:rFonts w:ascii="Times New Roman" w:eastAsia="Times New Roman" w:hAnsi="Times New Roman" w:cs="Times New Roman"/>
          <w:iCs/>
          <w:sz w:val="24"/>
          <w:szCs w:val="24"/>
        </w:rPr>
        <w:t xml:space="preserve"> </w:t>
      </w:r>
      <w:r w:rsidRPr="004F3E51">
        <w:rPr>
          <w:rFonts w:ascii="Times New Roman" w:eastAsia="Times New Roman" w:hAnsi="Times New Roman" w:cs="Times New Roman"/>
          <w:sz w:val="24"/>
          <w:szCs w:val="24"/>
        </w:rPr>
        <w:t>was not significant (+0.17 ± 0.45, +1</w:t>
      </w:r>
      <w:r>
        <w:rPr>
          <w:rFonts w:ascii="Times New Roman" w:eastAsia="Times New Roman" w:hAnsi="Times New Roman" w:cs="Times New Roman"/>
          <w:sz w:val="24"/>
          <w:szCs w:val="24"/>
        </w:rPr>
        <w:t>1</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19</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significant increase in </w:t>
      </w:r>
      <w:r w:rsidRPr="004F3E51">
        <w:rPr>
          <w:rFonts w:ascii="Times New Roman" w:eastAsia="Times New Roman" w:hAnsi="Times New Roman" w:cs="Times New Roman"/>
          <w:sz w:val="24"/>
          <w:szCs w:val="24"/>
        </w:rPr>
        <w:t>SW</w:t>
      </w:r>
      <w:r w:rsidRPr="004F3E51">
        <w:rPr>
          <w:rFonts w:ascii="Times New Roman" w:eastAsia="Times New Roman" w:hAnsi="Times New Roman" w:cs="Times New Roman"/>
          <w:sz w:val="24"/>
          <w:szCs w:val="24"/>
          <w:vertAlign w:val="subscript"/>
        </w:rPr>
        <w:t>in</w:t>
      </w:r>
      <w:r>
        <w:rPr>
          <w:rFonts w:ascii="Times New Roman" w:eastAsia="Times New Roman" w:hAnsi="Times New Roman" w:cs="Times New Roman"/>
          <w:sz w:val="24"/>
          <w:szCs w:val="24"/>
        </w:rPr>
        <w:t xml:space="preserve"> was observed at 12 out of 13 sites </w:t>
      </w:r>
      <w:r w:rsidRPr="004F3E51">
        <w:rPr>
          <w:rFonts w:ascii="Times New Roman" w:eastAsia="Times New Roman" w:hAnsi="Times New Roman" w:cs="Times New Roman"/>
          <w:sz w:val="24"/>
          <w:szCs w:val="24"/>
        </w:rPr>
        <w:t>(+19 ± 12 W m</w:t>
      </w:r>
      <w:r w:rsidRPr="004F3E51">
        <w:rPr>
          <w:rFonts w:ascii="Times New Roman" w:eastAsia="Times New Roman" w:hAnsi="Times New Roman" w:cs="Times New Roman"/>
          <w:sz w:val="24"/>
          <w:szCs w:val="24"/>
          <w:vertAlign w:val="superscript"/>
        </w:rPr>
        <w:t>−2</w:t>
      </w:r>
      <w:r w:rsidRPr="004F3E51">
        <w:rPr>
          <w:rFonts w:ascii="Times New Roman" w:eastAsia="Times New Roman" w:hAnsi="Times New Roman" w:cs="Times New Roman"/>
          <w:sz w:val="24"/>
          <w:szCs w:val="24"/>
        </w:rPr>
        <w:t xml:space="preserve">, +9.8%,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&lt; .001)</w:t>
      </w:r>
      <w:r>
        <w:rPr>
          <w:rFonts w:ascii="Times New Roman" w:eastAsia="Times New Roman" w:hAnsi="Times New Roman" w:cs="Times New Roman"/>
          <w:sz w:val="24"/>
          <w:szCs w:val="24"/>
        </w:rPr>
        <w:t>, except for an</w:t>
      </w:r>
      <w:r w:rsidRPr="00AE7D9D">
        <w:rPr>
          <w:rFonts w:ascii="Times New Roman" w:eastAsia="Times New Roman" w:hAnsi="Times New Roman" w:cs="Times New Roman"/>
          <w:sz w:val="24"/>
          <w:szCs w:val="24"/>
        </w:rPr>
        <w:t xml:space="preserve"> alpine grassland, CH-Aws (1,978 m a.s.l.)</w:t>
      </w:r>
      <w:r>
        <w:rPr>
          <w:rFonts w:ascii="Times New Roman" w:eastAsia="Times New Roman" w:hAnsi="Times New Roman" w:cs="Times New Roman"/>
          <w:sz w:val="24"/>
          <w:szCs w:val="24"/>
        </w:rPr>
        <w:t xml:space="preserve">. This coincides with reduced </w:t>
      </w:r>
      <w:r w:rsidRPr="00356E15">
        <w:rPr>
          <w:rFonts w:ascii="Times New Roman" w:hAnsi="Times New Roman" w:cs="Times New Roman"/>
          <w:bCs/>
          <w:sz w:val="24"/>
          <w:szCs w:val="24"/>
        </w:rPr>
        <w:t>P</w:t>
      </w:r>
      <w:r w:rsidRPr="00356E15">
        <w:rPr>
          <w:rFonts w:ascii="Times New Roman" w:hAnsi="Times New Roman" w:cs="Times New Roman"/>
          <w:bCs/>
          <w:sz w:val="24"/>
          <w:szCs w:val="24"/>
          <w:vertAlign w:val="subscript"/>
        </w:rPr>
        <w:t>tot</w:t>
      </w:r>
      <w:r>
        <w:rPr>
          <w:rFonts w:ascii="Times New Roman" w:eastAsia="Times New Roman" w:hAnsi="Times New Roman" w:cs="Times New Roman"/>
          <w:i/>
          <w:iCs/>
          <w:sz w:val="24"/>
          <w:szCs w:val="24"/>
        </w:rPr>
        <w:t xml:space="preserve"> </w:t>
      </w:r>
      <w:r w:rsidRPr="00942504">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−2</w:t>
      </w:r>
      <w:r>
        <w:rPr>
          <w:rFonts w:ascii="Times New Roman" w:eastAsia="Times New Roman" w:hAnsi="Times New Roman" w:cs="Times New Roman"/>
          <w:sz w:val="24"/>
          <w:szCs w:val="24"/>
        </w:rPr>
        <w:t>6</w:t>
      </w:r>
      <w:r w:rsidRPr="004F3E51">
        <w:rPr>
          <w:rFonts w:ascii="Times New Roman" w:eastAsia="Times New Roman" w:hAnsi="Times New Roman" w:cs="Times New Roman"/>
          <w:sz w:val="24"/>
          <w:szCs w:val="24"/>
        </w:rPr>
        <w:t xml:space="preserve"> ± 8</w:t>
      </w:r>
      <w:r>
        <w:rPr>
          <w:rFonts w:ascii="Times New Roman" w:eastAsia="Times New Roman" w:hAnsi="Times New Roman" w:cs="Times New Roman"/>
          <w:sz w:val="24"/>
          <w:szCs w:val="24"/>
        </w:rPr>
        <w:t>5</w:t>
      </w:r>
      <w:r w:rsidRPr="004F3E51">
        <w:rPr>
          <w:rFonts w:ascii="Times New Roman" w:eastAsia="Times New Roman" w:hAnsi="Times New Roman" w:cs="Times New Roman"/>
          <w:sz w:val="24"/>
          <w:szCs w:val="24"/>
        </w:rPr>
        <w:t xml:space="preserve"> mm, −</w:t>
      </w:r>
      <w:r>
        <w:rPr>
          <w:rFonts w:ascii="Times New Roman" w:eastAsia="Times New Roman" w:hAnsi="Times New Roman" w:cs="Times New Roman"/>
          <w:sz w:val="24"/>
          <w:szCs w:val="24"/>
        </w:rPr>
        <w:t>9.7</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3</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3E51">
        <w:rPr>
          <w:rFonts w:ascii="Times New Roman" w:hAnsi="Times New Roman" w:cs="Times New Roman"/>
          <w:sz w:val="24"/>
          <w:szCs w:val="24"/>
        </w:rPr>
        <w:t>SIA</w:t>
      </w:r>
      <w:r w:rsidRPr="004F3E51">
        <w:rPr>
          <w:rFonts w:ascii="Times New Roman" w:hAnsi="Times New Roman" w:cs="Times New Roman"/>
          <w:sz w:val="24"/>
          <w:szCs w:val="24"/>
          <w:vertAlign w:val="subscript"/>
        </w:rPr>
        <w:t>2.5</w:t>
      </w:r>
      <w:r>
        <w:rPr>
          <w:rFonts w:ascii="Times New Roman" w:eastAsia="Times New Roman" w:hAnsi="Times New Roman" w:cs="Times New Roman"/>
          <w:sz w:val="24"/>
          <w:szCs w:val="24"/>
        </w:rPr>
        <w:t xml:space="preserve"> (</w:t>
      </w:r>
      <w:r w:rsidRPr="00FA7919">
        <w:rPr>
          <w:rFonts w:ascii="Times New Roman" w:hAnsi="Times New Roman" w:cs="Times New Roman"/>
          <w:sz w:val="24"/>
          <w:szCs w:val="24"/>
        </w:rPr>
        <w:t>−0.</w:t>
      </w:r>
      <w:r>
        <w:rPr>
          <w:rFonts w:ascii="Times New Roman" w:hAnsi="Times New Roman" w:cs="Times New Roman"/>
          <w:sz w:val="24"/>
          <w:szCs w:val="24"/>
        </w:rPr>
        <w:t>8</w:t>
      </w:r>
      <w:r w:rsidRPr="00FA7919">
        <w:rPr>
          <w:rFonts w:ascii="Times New Roman" w:hAnsi="Times New Roman" w:cs="Times New Roman"/>
          <w:sz w:val="24"/>
          <w:szCs w:val="24"/>
        </w:rPr>
        <w:t>7 ± 0.6</w:t>
      </w:r>
      <w:r>
        <w:rPr>
          <w:rFonts w:ascii="Times New Roman" w:hAnsi="Times New Roman" w:cs="Times New Roman"/>
          <w:sz w:val="24"/>
          <w:szCs w:val="24"/>
        </w:rPr>
        <w:t>2</w:t>
      </w:r>
      <w:r w:rsidRPr="00FA7919">
        <w:rPr>
          <w:rFonts w:ascii="Times New Roman" w:hAnsi="Times New Roman" w:cs="Times New Roman"/>
          <w:sz w:val="24"/>
          <w:szCs w:val="24"/>
        </w:rPr>
        <w:t xml:space="preserve"> µg m</w:t>
      </w:r>
      <w:r w:rsidRPr="00FA791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21</w:t>
      </w:r>
      <w:r w:rsidRPr="00FA7919">
        <w:rPr>
          <w:rFonts w:ascii="Times New Roman" w:hAnsi="Times New Roman" w:cs="Times New Roman"/>
          <w:sz w:val="24"/>
          <w:szCs w:val="24"/>
        </w:rPr>
        <w:t xml:space="preserve">%, </w:t>
      </w:r>
      <w:r w:rsidRPr="00FA7919">
        <w:rPr>
          <w:rFonts w:ascii="Times New Roman" w:hAnsi="Times New Roman" w:cs="Times New Roman"/>
          <w:i/>
          <w:sz w:val="24"/>
          <w:szCs w:val="24"/>
        </w:rPr>
        <w:t>p</w:t>
      </w:r>
      <w:r w:rsidRPr="00FA7919">
        <w:rPr>
          <w:rFonts w:ascii="Times New Roman" w:hAnsi="Times New Roman" w:cs="Times New Roman"/>
          <w:sz w:val="24"/>
          <w:szCs w:val="24"/>
        </w:rPr>
        <w:t xml:space="preserve"> &lt; .001)</w:t>
      </w:r>
      <w:r>
        <w:rPr>
          <w:rFonts w:ascii="Times New Roman" w:hAnsi="Times New Roman" w:cs="Times New Roman"/>
          <w:sz w:val="24"/>
          <w:szCs w:val="24"/>
        </w:rPr>
        <w:t xml:space="preserve">,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2.5</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FA7919">
        <w:rPr>
          <w:rFonts w:ascii="Times New Roman" w:hAnsi="Times New Roman" w:cs="Times New Roman"/>
          <w:sz w:val="24"/>
          <w:szCs w:val="24"/>
        </w:rPr>
        <w:t>−0.</w:t>
      </w:r>
      <w:r>
        <w:rPr>
          <w:rFonts w:ascii="Times New Roman" w:hAnsi="Times New Roman" w:cs="Times New Roman"/>
          <w:sz w:val="24"/>
          <w:szCs w:val="24"/>
        </w:rPr>
        <w:t>96</w:t>
      </w:r>
      <w:r w:rsidRPr="00FA7919">
        <w:rPr>
          <w:rFonts w:ascii="Times New Roman" w:hAnsi="Times New Roman" w:cs="Times New Roman"/>
          <w:sz w:val="24"/>
          <w:szCs w:val="24"/>
        </w:rPr>
        <w:t xml:space="preserve"> ± 0.6</w:t>
      </w:r>
      <w:r>
        <w:rPr>
          <w:rFonts w:ascii="Times New Roman" w:hAnsi="Times New Roman" w:cs="Times New Roman"/>
          <w:sz w:val="24"/>
          <w:szCs w:val="24"/>
        </w:rPr>
        <w:t>7</w:t>
      </w:r>
      <w:r w:rsidRPr="00FA7919">
        <w:rPr>
          <w:rFonts w:ascii="Times New Roman" w:hAnsi="Times New Roman" w:cs="Times New Roman"/>
          <w:sz w:val="24"/>
          <w:szCs w:val="24"/>
        </w:rPr>
        <w:t xml:space="preserve"> µg m</w:t>
      </w:r>
      <w:r w:rsidRPr="00FA791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14</w:t>
      </w:r>
      <w:r w:rsidRPr="00FA7919">
        <w:rPr>
          <w:rFonts w:ascii="Times New Roman" w:hAnsi="Times New Roman" w:cs="Times New Roman"/>
          <w:sz w:val="24"/>
          <w:szCs w:val="24"/>
        </w:rPr>
        <w:t xml:space="preserve">%, </w:t>
      </w:r>
      <w:r w:rsidRPr="00FA7919">
        <w:rPr>
          <w:rFonts w:ascii="Times New Roman" w:hAnsi="Times New Roman" w:cs="Times New Roman"/>
          <w:i/>
          <w:sz w:val="24"/>
          <w:szCs w:val="24"/>
        </w:rPr>
        <w:t>p</w:t>
      </w:r>
      <w:r w:rsidRPr="00FA7919">
        <w:rPr>
          <w:rFonts w:ascii="Times New Roman" w:hAnsi="Times New Roman" w:cs="Times New Roman"/>
          <w:sz w:val="24"/>
          <w:szCs w:val="24"/>
        </w:rPr>
        <w:t xml:space="preserve"> &lt; .001)</w:t>
      </w:r>
      <w:r>
        <w:rPr>
          <w:rFonts w:ascii="Times New Roman" w:hAnsi="Times New Roman" w:cs="Times New Roman"/>
          <w:sz w:val="24"/>
          <w:szCs w:val="24"/>
        </w:rPr>
        <w:t xml:space="preserve"> and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10</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FA7919">
        <w:rPr>
          <w:rFonts w:ascii="Times New Roman" w:hAnsi="Times New Roman" w:cs="Times New Roman"/>
          <w:sz w:val="24"/>
          <w:szCs w:val="24"/>
        </w:rPr>
        <w:t>−</w:t>
      </w:r>
      <w:r>
        <w:rPr>
          <w:rFonts w:ascii="Times New Roman" w:hAnsi="Times New Roman" w:cs="Times New Roman"/>
          <w:sz w:val="24"/>
          <w:szCs w:val="24"/>
        </w:rPr>
        <w:t>1.0</w:t>
      </w:r>
      <w:r w:rsidRPr="00FA7919">
        <w:rPr>
          <w:rFonts w:ascii="Times New Roman" w:hAnsi="Times New Roman" w:cs="Times New Roman"/>
          <w:sz w:val="24"/>
          <w:szCs w:val="24"/>
        </w:rPr>
        <w:t xml:space="preserve"> ± 0.</w:t>
      </w:r>
      <w:r>
        <w:rPr>
          <w:rFonts w:ascii="Times New Roman" w:hAnsi="Times New Roman" w:cs="Times New Roman"/>
          <w:sz w:val="24"/>
          <w:szCs w:val="24"/>
        </w:rPr>
        <w:t>7</w:t>
      </w:r>
      <w:r w:rsidRPr="00FA7919">
        <w:rPr>
          <w:rFonts w:ascii="Times New Roman" w:hAnsi="Times New Roman" w:cs="Times New Roman"/>
          <w:sz w:val="24"/>
          <w:szCs w:val="24"/>
        </w:rPr>
        <w:t xml:space="preserve"> µg m</w:t>
      </w:r>
      <w:r w:rsidRPr="00FA791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9</w:t>
      </w:r>
      <w:r w:rsidRPr="00FA7919">
        <w:rPr>
          <w:rFonts w:ascii="Times New Roman" w:hAnsi="Times New Roman" w:cs="Times New Roman"/>
          <w:sz w:val="24"/>
          <w:szCs w:val="24"/>
        </w:rPr>
        <w:t xml:space="preserve">%, </w:t>
      </w:r>
      <w:r w:rsidRPr="00FA7919">
        <w:rPr>
          <w:rFonts w:ascii="Times New Roman" w:hAnsi="Times New Roman" w:cs="Times New Roman"/>
          <w:i/>
          <w:sz w:val="24"/>
          <w:szCs w:val="24"/>
        </w:rPr>
        <w:t>p</w:t>
      </w:r>
      <w:r w:rsidRPr="00FA7919">
        <w:rPr>
          <w:rFonts w:ascii="Times New Roman" w:hAnsi="Times New Roman" w:cs="Times New Roman"/>
          <w:sz w:val="24"/>
          <w:szCs w:val="24"/>
        </w:rPr>
        <w:t xml:space="preserve"> &lt; .001)</w:t>
      </w:r>
      <w:r>
        <w:rPr>
          <w:rFonts w:ascii="Times New Roman" w:eastAsia="Times New Roman" w:hAnsi="Times New Roman" w:cs="Times New Roman"/>
          <w:sz w:val="24"/>
          <w:szCs w:val="24"/>
        </w:rPr>
        <w:t xml:space="preserve">. Further, </w:t>
      </w:r>
      <w:r w:rsidRPr="004F3E51">
        <w:rPr>
          <w:rFonts w:ascii="Times New Roman" w:eastAsia="Times New Roman" w:hAnsi="Times New Roman" w:cs="Times New Roman"/>
          <w:i/>
          <w:iCs/>
          <w:color w:val="000000" w:themeColor="text1"/>
          <w:kern w:val="24"/>
          <w:sz w:val="24"/>
          <w:szCs w:val="24"/>
        </w:rPr>
        <w:t>α</w:t>
      </w:r>
      <w:r>
        <w:rPr>
          <w:rFonts w:ascii="Times New Roman" w:eastAsia="Times New Roman" w:hAnsi="Times New Roman" w:cs="Times New Roman"/>
          <w:color w:val="000000" w:themeColor="text1"/>
          <w:kern w:val="24"/>
          <w:sz w:val="24"/>
          <w:szCs w:val="24"/>
        </w:rPr>
        <w:t xml:space="preserve"> and </w:t>
      </w:r>
      <w:r w:rsidRPr="004F3E51">
        <w:rPr>
          <w:rFonts w:ascii="Times New Roman" w:eastAsia="Times New Roman" w:hAnsi="Times New Roman" w:cs="Times New Roman"/>
          <w:i/>
          <w:iCs/>
          <w:color w:val="000000" w:themeColor="text1"/>
          <w:kern w:val="24"/>
          <w:sz w:val="24"/>
          <w:szCs w:val="24"/>
        </w:rPr>
        <w:t>P</w:t>
      </w:r>
      <w:r w:rsidRPr="004F3E51">
        <w:rPr>
          <w:rFonts w:ascii="Times New Roman" w:eastAsia="Times New Roman" w:hAnsi="Times New Roman" w:cs="Times New Roman"/>
          <w:i/>
          <w:iCs/>
          <w:color w:val="000000" w:themeColor="text1"/>
          <w:kern w:val="24"/>
          <w:sz w:val="24"/>
          <w:szCs w:val="24"/>
          <w:vertAlign w:val="subscript"/>
        </w:rPr>
        <w:t>max</w:t>
      </w:r>
      <w:r>
        <w:rPr>
          <w:rFonts w:ascii="Times New Roman" w:eastAsia="Times New Roman" w:hAnsi="Times New Roman" w:cs="Times New Roman"/>
          <w:color w:val="000000" w:themeColor="text1"/>
          <w:kern w:val="24"/>
          <w:sz w:val="24"/>
          <w:szCs w:val="24"/>
        </w:rPr>
        <w:t xml:space="preserve"> increased by </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0.02</w:t>
      </w:r>
      <w:r w:rsidRPr="004F3E5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0.02</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Cs/>
          <w:color w:val="000000" w:themeColor="text1"/>
          <w:kern w:val="24"/>
          <w:sz w:val="24"/>
          <w:szCs w:val="24"/>
        </w:rPr>
        <w:t>µmol</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CO</w:t>
      </w:r>
      <w:r w:rsidRPr="004F3E51">
        <w:rPr>
          <w:rFonts w:ascii="Times New Roman" w:eastAsia="Times New Roman" w:hAnsi="Times New Roman" w:cs="Times New Roman"/>
          <w:iCs/>
          <w:color w:val="000000" w:themeColor="text1"/>
          <w:kern w:val="24"/>
          <w:sz w:val="24"/>
          <w:szCs w:val="24"/>
          <w:vertAlign w:val="subscript"/>
        </w:rPr>
        <w:t>2</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J</w:t>
      </w:r>
      <w:r w:rsidRPr="004F3E51">
        <w:rPr>
          <w:rFonts w:ascii="Times New Roman" w:eastAsia="Times New Roman" w:hAnsi="Times New Roman" w:cs="Times New Roman"/>
          <w:iCs/>
          <w:color w:val="000000" w:themeColor="text1"/>
          <w:kern w:val="24"/>
          <w:sz w:val="24"/>
          <w:szCs w:val="24"/>
          <w:vertAlign w:val="superscript"/>
        </w:rPr>
        <w:t>−1</w:t>
      </w:r>
      <w:r>
        <w:rPr>
          <w:rFonts w:ascii="Times New Roman" w:eastAsia="Times New Roman" w:hAnsi="Times New Roman" w:cs="Times New Roman"/>
          <w:iCs/>
          <w:color w:val="000000" w:themeColor="text1"/>
          <w:kern w:val="24"/>
          <w:sz w:val="24"/>
          <w:szCs w:val="24"/>
        </w:rPr>
        <w:t xml:space="preserve"> (</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4F3E51">
        <w:rPr>
          <w:rFonts w:ascii="Times New Roman" w:eastAsia="Times New Roman" w:hAnsi="Times New Roman" w:cs="Times New Roman"/>
          <w:sz w:val="24"/>
          <w:szCs w:val="24"/>
        </w:rPr>
        <w:t xml:space="preserve">8%,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.0</w:t>
      </w:r>
      <w:r>
        <w:rPr>
          <w:rFonts w:ascii="Times New Roman" w:eastAsia="Times New Roman" w:hAnsi="Times New Roman" w:cs="Times New Roman"/>
          <w:sz w:val="24"/>
          <w:szCs w:val="24"/>
        </w:rPr>
        <w:t>4</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Pr="004F3E5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10</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Cs/>
          <w:color w:val="000000" w:themeColor="text1"/>
          <w:kern w:val="24"/>
          <w:sz w:val="24"/>
          <w:szCs w:val="24"/>
        </w:rPr>
        <w:t>μmol</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CO</w:t>
      </w:r>
      <w:r w:rsidRPr="004F3E51">
        <w:rPr>
          <w:rFonts w:ascii="Times New Roman" w:eastAsia="Times New Roman" w:hAnsi="Times New Roman" w:cs="Times New Roman"/>
          <w:iCs/>
          <w:color w:val="000000" w:themeColor="text1"/>
          <w:kern w:val="24"/>
          <w:sz w:val="24"/>
          <w:szCs w:val="24"/>
          <w:vertAlign w:val="subscript"/>
        </w:rPr>
        <w:t>2</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m</w:t>
      </w:r>
      <w:r w:rsidRPr="004F3E51">
        <w:rPr>
          <w:rFonts w:ascii="Times New Roman" w:eastAsia="Times New Roman" w:hAnsi="Times New Roman" w:cs="Times New Roman"/>
          <w:iCs/>
          <w:color w:val="000000" w:themeColor="text1"/>
          <w:kern w:val="24"/>
          <w:sz w:val="24"/>
          <w:szCs w:val="24"/>
          <w:vertAlign w:val="superscript"/>
        </w:rPr>
        <w:t>−2</w:t>
      </w:r>
      <w:r>
        <w:rPr>
          <w:rFonts w:ascii="Times New Roman" w:eastAsia="Times New Roman" w:hAnsi="Times New Roman" w:cs="Times New Roman"/>
          <w:iCs/>
          <w:color w:val="000000" w:themeColor="text1"/>
          <w:kern w:val="24"/>
          <w:sz w:val="24"/>
          <w:szCs w:val="24"/>
        </w:rPr>
        <w:t> </w:t>
      </w:r>
      <w:r w:rsidRPr="004F3E51">
        <w:rPr>
          <w:rFonts w:ascii="Times New Roman" w:eastAsia="Times New Roman" w:hAnsi="Times New Roman" w:cs="Times New Roman"/>
          <w:iCs/>
          <w:color w:val="000000" w:themeColor="text1"/>
          <w:kern w:val="24"/>
          <w:sz w:val="24"/>
          <w:szCs w:val="24"/>
        </w:rPr>
        <w:t>s</w:t>
      </w:r>
      <w:r w:rsidRPr="004F3E51">
        <w:rPr>
          <w:rFonts w:ascii="Times New Roman" w:eastAsia="Times New Roman" w:hAnsi="Times New Roman" w:cs="Times New Roman"/>
          <w:iCs/>
          <w:color w:val="000000" w:themeColor="text1"/>
          <w:kern w:val="24"/>
          <w:sz w:val="24"/>
          <w:szCs w:val="24"/>
          <w:vertAlign w:val="superscript"/>
        </w:rPr>
        <w:t>−1</w:t>
      </w:r>
      <w:r>
        <w:rPr>
          <w:rFonts w:ascii="Times New Roman" w:eastAsia="Times New Roman" w:hAnsi="Times New Roman" w:cs="Times New Roman"/>
          <w:iCs/>
          <w:color w:val="000000" w:themeColor="text1"/>
          <w:kern w:val="24"/>
          <w:sz w:val="24"/>
          <w:szCs w:val="24"/>
        </w:rPr>
        <w:t xml:space="preserve"> (</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9.3</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 average at these sites, respectively. </w:t>
      </w:r>
    </w:p>
    <w:p w14:paraId="381876F7" w14:textId="77777777" w:rsidR="00103AF5" w:rsidRDefault="00103AF5" w:rsidP="00103AF5">
      <w:pPr>
        <w:snapToGrid w:val="0"/>
        <w:spacing w:after="0" w:line="480" w:lineRule="auto"/>
        <w:ind w:left="720"/>
        <w:contextualSpacing/>
        <w:rPr>
          <w:rFonts w:ascii="Times New Roman" w:eastAsia="Times New Roman" w:hAnsi="Times New Roman" w:cs="Times New Roman"/>
          <w:sz w:val="24"/>
          <w:szCs w:val="24"/>
        </w:rPr>
      </w:pPr>
    </w:p>
    <w:p w14:paraId="1D98AD69" w14:textId="77777777" w:rsidR="00103AF5" w:rsidRPr="00ED6D75" w:rsidRDefault="00103AF5" w:rsidP="00103AF5">
      <w:pPr>
        <w:snapToGrid w:val="0"/>
        <w:spacing w:after="0" w:line="480" w:lineRule="auto"/>
        <w:contextualSpacing/>
        <w:rPr>
          <w:rFonts w:ascii="Times New Roman" w:hAnsi="Times New Roman" w:cs="Times New Roman"/>
          <w:b/>
          <w:sz w:val="24"/>
          <w:szCs w:val="24"/>
        </w:rPr>
      </w:pPr>
      <w:r w:rsidRPr="00ED6D75">
        <w:rPr>
          <w:rFonts w:ascii="Times New Roman" w:hAnsi="Times New Roman" w:cs="Times New Roman"/>
          <w:b/>
          <w:sz w:val="24"/>
          <w:szCs w:val="24"/>
        </w:rPr>
        <w:t>3.3.2 GPP anomalies attributed to both meteorology and air pollutant concentrations</w:t>
      </w:r>
    </w:p>
    <w:p w14:paraId="05415A28" w14:textId="77777777" w:rsidR="00103AF5" w:rsidRDefault="00103AF5" w:rsidP="00103AF5">
      <w:pPr>
        <w:snapToGrid w:val="0"/>
        <w:spacing w:after="0" w:line="480" w:lineRule="auto"/>
        <w:contextualSpacing/>
        <w:rPr>
          <w:rFonts w:ascii="Times New Roman" w:hAnsi="Times New Roman" w:cs="Times New Roman"/>
          <w:sz w:val="24"/>
          <w:szCs w:val="24"/>
        </w:rPr>
      </w:pPr>
      <w:r w:rsidRPr="00A348F8">
        <w:rPr>
          <w:rFonts w:ascii="Times New Roman" w:hAnsi="Times New Roman" w:cs="Times New Roman"/>
          <w:bCs/>
          <w:sz w:val="24"/>
          <w:szCs w:val="24"/>
        </w:rPr>
        <w:t xml:space="preserve">Group 2 </w:t>
      </w:r>
      <w:r>
        <w:rPr>
          <w:rFonts w:ascii="Times New Roman" w:hAnsi="Times New Roman" w:cs="Times New Roman"/>
          <w:bCs/>
          <w:sz w:val="24"/>
          <w:szCs w:val="24"/>
        </w:rPr>
        <w:t>comprises</w:t>
      </w:r>
      <w:r w:rsidRPr="00A348F8">
        <w:rPr>
          <w:rFonts w:ascii="Times New Roman" w:hAnsi="Times New Roman" w:cs="Times New Roman"/>
          <w:bCs/>
          <w:sz w:val="24"/>
          <w:szCs w:val="24"/>
        </w:rPr>
        <w:t xml:space="preserve"> two alpine grasslands, IT-MBo </w:t>
      </w:r>
      <w:r w:rsidRPr="00A348F8">
        <w:rPr>
          <w:rFonts w:ascii="Times New Roman" w:hAnsi="Times New Roman" w:cs="Times New Roman"/>
          <w:sz w:val="24"/>
          <w:szCs w:val="24"/>
        </w:rPr>
        <w:t xml:space="preserve">(1,550 m a.s.l.) </w:t>
      </w:r>
      <w:r w:rsidRPr="00A348F8">
        <w:rPr>
          <w:rFonts w:ascii="Times New Roman" w:hAnsi="Times New Roman" w:cs="Times New Roman"/>
          <w:bCs/>
          <w:sz w:val="24"/>
          <w:szCs w:val="24"/>
        </w:rPr>
        <w:t xml:space="preserve">and IT-Tor </w:t>
      </w:r>
      <w:r w:rsidRPr="00A348F8">
        <w:rPr>
          <w:rFonts w:ascii="Times New Roman" w:hAnsi="Times New Roman" w:cs="Times New Roman"/>
          <w:sz w:val="24"/>
          <w:szCs w:val="24"/>
        </w:rPr>
        <w:t>(2,160 m a.s.l.)</w:t>
      </w:r>
      <w:r w:rsidRPr="00A348F8">
        <w:rPr>
          <w:rFonts w:ascii="Times New Roman" w:hAnsi="Times New Roman" w:cs="Times New Roman"/>
          <w:bCs/>
          <w:sz w:val="24"/>
          <w:szCs w:val="24"/>
        </w:rPr>
        <w:t>, a</w:t>
      </w:r>
      <w:r>
        <w:rPr>
          <w:rFonts w:ascii="Times New Roman" w:hAnsi="Times New Roman" w:cs="Times New Roman"/>
          <w:bCs/>
          <w:sz w:val="24"/>
          <w:szCs w:val="24"/>
        </w:rPr>
        <w:t xml:space="preserve">s well as </w:t>
      </w:r>
      <w:r w:rsidRPr="00A348F8">
        <w:rPr>
          <w:rFonts w:ascii="Times New Roman" w:hAnsi="Times New Roman" w:cs="Times New Roman"/>
          <w:bCs/>
          <w:sz w:val="24"/>
          <w:szCs w:val="24"/>
        </w:rPr>
        <w:t xml:space="preserve">a broadleaf forest, FR-Hes. </w:t>
      </w:r>
      <w:r w:rsidRPr="00A348F8">
        <w:rPr>
          <w:rFonts w:ascii="Times New Roman" w:hAnsi="Times New Roman" w:cs="Times New Roman"/>
          <w:sz w:val="24"/>
          <w:szCs w:val="24"/>
        </w:rPr>
        <w:t xml:space="preserve">Our results show that atmospheric pollutants </w:t>
      </w:r>
      <w:r>
        <w:rPr>
          <w:rFonts w:ascii="Times New Roman" w:hAnsi="Times New Roman" w:cs="Times New Roman"/>
          <w:sz w:val="24"/>
          <w:szCs w:val="24"/>
        </w:rPr>
        <w:t xml:space="preserve">accounted for </w:t>
      </w:r>
      <w:r w:rsidRPr="00A348F8">
        <w:rPr>
          <w:rFonts w:ascii="Times New Roman" w:hAnsi="Times New Roman" w:cs="Times New Roman"/>
          <w:sz w:val="24"/>
          <w:szCs w:val="24"/>
        </w:rPr>
        <w:t>12</w:t>
      </w:r>
      <w:r>
        <w:rPr>
          <w:rFonts w:ascii="Times New Roman" w:hAnsi="Times New Roman" w:cs="Times New Roman"/>
          <w:sz w:val="24"/>
          <w:szCs w:val="24"/>
        </w:rPr>
        <w:t>%</w:t>
      </w:r>
      <w:r w:rsidRPr="00A348F8">
        <w:rPr>
          <w:rFonts w:ascii="Times New Roman" w:hAnsi="Times New Roman" w:cs="Times New Roman"/>
          <w:sz w:val="24"/>
          <w:szCs w:val="24"/>
        </w:rPr>
        <w:t>, 8.7</w:t>
      </w:r>
      <w:r>
        <w:rPr>
          <w:rFonts w:ascii="Times New Roman" w:hAnsi="Times New Roman" w:cs="Times New Roman"/>
          <w:sz w:val="24"/>
          <w:szCs w:val="24"/>
        </w:rPr>
        <w:t>%</w:t>
      </w:r>
      <w:r w:rsidRPr="00A348F8">
        <w:rPr>
          <w:rFonts w:ascii="Times New Roman" w:hAnsi="Times New Roman" w:cs="Times New Roman"/>
          <w:sz w:val="24"/>
          <w:szCs w:val="24"/>
        </w:rPr>
        <w:t xml:space="preserve"> and 11% of </w:t>
      </w:r>
      <w:r>
        <w:rPr>
          <w:rFonts w:ascii="Times New Roman" w:hAnsi="Times New Roman" w:cs="Times New Roman"/>
          <w:sz w:val="24"/>
          <w:szCs w:val="24"/>
        </w:rPr>
        <w:t xml:space="preserve">the </w:t>
      </w:r>
      <w:r w:rsidRPr="00A348F8">
        <w:rPr>
          <w:rFonts w:ascii="Times New Roman" w:hAnsi="Times New Roman" w:cs="Times New Roman"/>
          <w:sz w:val="24"/>
          <w:szCs w:val="24"/>
        </w:rPr>
        <w:t>variance</w:t>
      </w:r>
      <w:r>
        <w:rPr>
          <w:rFonts w:ascii="Times New Roman" w:hAnsi="Times New Roman" w:cs="Times New Roman"/>
          <w:sz w:val="24"/>
          <w:szCs w:val="24"/>
        </w:rPr>
        <w:t xml:space="preserve"> in GPP</w:t>
      </w:r>
      <w:r w:rsidRPr="00A348F8">
        <w:rPr>
          <w:rFonts w:ascii="Times New Roman" w:hAnsi="Times New Roman" w:cs="Times New Roman"/>
          <w:sz w:val="24"/>
          <w:szCs w:val="24"/>
        </w:rPr>
        <w:t xml:space="preserve">, and </w:t>
      </w:r>
      <w:r>
        <w:rPr>
          <w:rFonts w:ascii="Times New Roman" w:hAnsi="Times New Roman" w:cs="Times New Roman"/>
          <w:sz w:val="24"/>
          <w:szCs w:val="24"/>
        </w:rPr>
        <w:t xml:space="preserve">led to an improvement in </w:t>
      </w:r>
      <w:r w:rsidRPr="00A348F8">
        <w:rPr>
          <w:rFonts w:ascii="Times New Roman" w:hAnsi="Times New Roman" w:cs="Times New Roman"/>
          <w:sz w:val="24"/>
          <w:szCs w:val="24"/>
        </w:rPr>
        <w:t>NRMSE by 11</w:t>
      </w:r>
      <w:r>
        <w:rPr>
          <w:rFonts w:ascii="Times New Roman" w:hAnsi="Times New Roman" w:cs="Times New Roman"/>
          <w:sz w:val="24"/>
          <w:szCs w:val="24"/>
        </w:rPr>
        <w:t>%</w:t>
      </w:r>
      <w:r w:rsidRPr="00A348F8">
        <w:rPr>
          <w:rFonts w:ascii="Times New Roman" w:hAnsi="Times New Roman" w:cs="Times New Roman"/>
          <w:sz w:val="24"/>
          <w:szCs w:val="24"/>
        </w:rPr>
        <w:t>, 8.3</w:t>
      </w:r>
      <w:r>
        <w:rPr>
          <w:rFonts w:ascii="Times New Roman" w:hAnsi="Times New Roman" w:cs="Times New Roman"/>
          <w:sz w:val="24"/>
          <w:szCs w:val="24"/>
        </w:rPr>
        <w:t>%</w:t>
      </w:r>
      <w:r w:rsidRPr="00A348F8">
        <w:rPr>
          <w:rFonts w:ascii="Times New Roman" w:hAnsi="Times New Roman" w:cs="Times New Roman"/>
          <w:sz w:val="24"/>
          <w:szCs w:val="24"/>
        </w:rPr>
        <w:t xml:space="preserve"> and 6% at FR-Hes, IT-MBo and IT-Tor, respectively. </w:t>
      </w:r>
      <w:r>
        <w:rPr>
          <w:rFonts w:ascii="Times New Roman" w:eastAsia="Times New Roman" w:hAnsi="Times New Roman" w:cs="Times New Roman"/>
          <w:sz w:val="24"/>
          <w:szCs w:val="24"/>
        </w:rPr>
        <w:t>At FR-Hes and IT-MBo, we observed an increase in SW</w:t>
      </w:r>
      <w:r w:rsidRPr="00094F8D">
        <w:rPr>
          <w:rFonts w:ascii="Times New Roman" w:eastAsia="Times New Roman" w:hAnsi="Times New Roman" w:cs="Times New Roman"/>
          <w:sz w:val="24"/>
          <w:szCs w:val="24"/>
          <w:vertAlign w:val="subscript"/>
        </w:rPr>
        <w:t>in</w:t>
      </w:r>
      <w:r>
        <w:rPr>
          <w:rFonts w:ascii="Times New Roman" w:eastAsia="Times New Roman" w:hAnsi="Times New Roman" w:cs="Times New Roman"/>
          <w:sz w:val="24"/>
          <w:szCs w:val="24"/>
        </w:rPr>
        <w:t xml:space="preserve"> </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23</w:t>
      </w:r>
      <w:r w:rsidRPr="004F3E51">
        <w:rPr>
          <w:rFonts w:ascii="Times New Roman" w:eastAsia="Times New Roman" w:hAnsi="Times New Roman" w:cs="Times New Roman"/>
          <w:sz w:val="24"/>
          <w:szCs w:val="24"/>
        </w:rPr>
        <w:t xml:space="preserve"> ± 1</w:t>
      </w:r>
      <w:r>
        <w:rPr>
          <w:rFonts w:ascii="Times New Roman" w:eastAsia="Times New Roman" w:hAnsi="Times New Roman" w:cs="Times New Roman"/>
          <w:sz w:val="24"/>
          <w:szCs w:val="24"/>
        </w:rPr>
        <w:t>.9</w:t>
      </w:r>
      <w:r w:rsidRPr="004F3E51">
        <w:rPr>
          <w:rFonts w:ascii="Times New Roman" w:eastAsia="Times New Roman" w:hAnsi="Times New Roman" w:cs="Times New Roman"/>
          <w:sz w:val="24"/>
          <w:szCs w:val="24"/>
        </w:rPr>
        <w:t xml:space="preserve"> W m</w:t>
      </w:r>
      <w:r w:rsidRPr="004F3E51">
        <w:rPr>
          <w:rFonts w:ascii="Times New Roman" w:eastAsia="Times New Roman" w:hAnsi="Times New Roman" w:cs="Times New Roman"/>
          <w:sz w:val="24"/>
          <w:szCs w:val="24"/>
          <w:vertAlign w:val="superscript"/>
        </w:rPr>
        <w:t>−2</w:t>
      </w:r>
      <w:r w:rsidRPr="004F3E51">
        <w:rPr>
          <w:rFonts w:ascii="Times New Roman" w:eastAsia="Times New Roman" w:hAnsi="Times New Roman" w:cs="Times New Roman"/>
          <w:sz w:val="24"/>
          <w:szCs w:val="24"/>
        </w:rPr>
        <w:t>, +</w:t>
      </w:r>
      <w:r>
        <w:rPr>
          <w:rFonts w:ascii="Times New Roman" w:eastAsia="Times New Roman" w:hAnsi="Times New Roman" w:cs="Times New Roman"/>
          <w:sz w:val="24"/>
          <w:szCs w:val="24"/>
        </w:rPr>
        <w:t>11</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.0</w:t>
      </w:r>
      <w:r>
        <w:rPr>
          <w:rFonts w:ascii="Times New Roman" w:eastAsia="Times New Roman" w:hAnsi="Times New Roman" w:cs="Times New Roman"/>
          <w:sz w:val="24"/>
          <w:szCs w:val="24"/>
        </w:rPr>
        <w:t>4</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 decrease in SW</w:t>
      </w:r>
      <w:r w:rsidRPr="00612662">
        <w:rPr>
          <w:rFonts w:ascii="Times New Roman" w:eastAsia="Times New Roman" w:hAnsi="Times New Roman" w:cs="Times New Roman"/>
          <w:sz w:val="24"/>
          <w:szCs w:val="24"/>
          <w:vertAlign w:val="subscript"/>
        </w:rPr>
        <w:t>dif</w:t>
      </w:r>
      <w:r>
        <w:rPr>
          <w:rFonts w:ascii="Times New Roman" w:eastAsia="Times New Roman" w:hAnsi="Times New Roman" w:cs="Times New Roman"/>
          <w:sz w:val="24"/>
          <w:szCs w:val="24"/>
        </w:rPr>
        <w:t xml:space="preserve"> </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4F3E5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1.2</w:t>
      </w:r>
      <w:r w:rsidRPr="004F3E51">
        <w:rPr>
          <w:rFonts w:ascii="Times New Roman" w:eastAsia="Times New Roman" w:hAnsi="Times New Roman" w:cs="Times New Roman"/>
          <w:sz w:val="24"/>
          <w:szCs w:val="24"/>
        </w:rPr>
        <w:t xml:space="preserve"> W m</w:t>
      </w:r>
      <w:r w:rsidRPr="004F3E51">
        <w:rPr>
          <w:rFonts w:ascii="Times New Roman" w:eastAsia="Times New Roman" w:hAnsi="Times New Roman" w:cs="Times New Roman"/>
          <w:sz w:val="24"/>
          <w:szCs w:val="24"/>
          <w:vertAlign w:val="superscript"/>
        </w:rPr>
        <w:t>−2</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−5.5</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that coincided with reductions in the concentrations of </w:t>
      </w:r>
      <w:r w:rsidRPr="004F3E51">
        <w:rPr>
          <w:rFonts w:ascii="Times New Roman" w:hAnsi="Times New Roman" w:cs="Times New Roman"/>
          <w:sz w:val="24"/>
          <w:szCs w:val="24"/>
        </w:rPr>
        <w:t>SIA</w:t>
      </w:r>
      <w:r w:rsidRPr="004F3E51">
        <w:rPr>
          <w:rFonts w:ascii="Times New Roman" w:hAnsi="Times New Roman" w:cs="Times New Roman"/>
          <w:sz w:val="24"/>
          <w:szCs w:val="24"/>
          <w:vertAlign w:val="subscript"/>
        </w:rPr>
        <w:t>2.5</w:t>
      </w:r>
      <w:r>
        <w:rPr>
          <w:rFonts w:ascii="Times New Roman" w:eastAsia="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1.4</w:t>
      </w:r>
      <w:r w:rsidRPr="00FA7919">
        <w:rPr>
          <w:rFonts w:ascii="Times New Roman" w:hAnsi="Times New Roman" w:cs="Times New Roman"/>
          <w:sz w:val="24"/>
          <w:szCs w:val="24"/>
        </w:rPr>
        <w:t xml:space="preserve"> ± 0.</w:t>
      </w:r>
      <w:r>
        <w:rPr>
          <w:rFonts w:ascii="Times New Roman" w:hAnsi="Times New Roman" w:cs="Times New Roman"/>
          <w:sz w:val="24"/>
          <w:szCs w:val="24"/>
        </w:rPr>
        <w:t>98</w:t>
      </w:r>
      <w:r w:rsidRPr="00FA7919">
        <w:rPr>
          <w:rFonts w:ascii="Times New Roman" w:hAnsi="Times New Roman" w:cs="Times New Roman"/>
          <w:sz w:val="24"/>
          <w:szCs w:val="24"/>
        </w:rPr>
        <w:t xml:space="preserve"> µg m</w:t>
      </w:r>
      <w:r w:rsidRPr="00FA791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29</w:t>
      </w:r>
      <w:r w:rsidRPr="00FA7919">
        <w:rPr>
          <w:rFonts w:ascii="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FA7919">
        <w:rPr>
          <w:rFonts w:ascii="Times New Roman" w:hAnsi="Times New Roman" w:cs="Times New Roman"/>
          <w:sz w:val="24"/>
          <w:szCs w:val="24"/>
        </w:rPr>
        <w:t>)</w:t>
      </w:r>
      <w:r>
        <w:rPr>
          <w:rFonts w:ascii="Times New Roman" w:eastAsia="Times New Roman" w:hAnsi="Times New Roman" w:cs="Times New Roman"/>
          <w:sz w:val="24"/>
          <w:szCs w:val="24"/>
        </w:rPr>
        <w:t xml:space="preserve">,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2.5</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FA7919">
        <w:rPr>
          <w:rFonts w:ascii="Times New Roman" w:hAnsi="Times New Roman" w:cs="Times New Roman"/>
          <w:sz w:val="24"/>
          <w:szCs w:val="24"/>
        </w:rPr>
        <w:t>−</w:t>
      </w:r>
      <w:r>
        <w:rPr>
          <w:rFonts w:ascii="Times New Roman" w:hAnsi="Times New Roman" w:cs="Times New Roman"/>
          <w:sz w:val="24"/>
          <w:szCs w:val="24"/>
        </w:rPr>
        <w:t>1.5</w:t>
      </w:r>
      <w:r w:rsidRPr="00FA7919">
        <w:rPr>
          <w:rFonts w:ascii="Times New Roman" w:hAnsi="Times New Roman" w:cs="Times New Roman"/>
          <w:sz w:val="24"/>
          <w:szCs w:val="24"/>
        </w:rPr>
        <w:t xml:space="preserve"> ± 0.</w:t>
      </w:r>
      <w:r>
        <w:rPr>
          <w:rFonts w:ascii="Times New Roman" w:hAnsi="Times New Roman" w:cs="Times New Roman"/>
          <w:sz w:val="24"/>
          <w:szCs w:val="24"/>
        </w:rPr>
        <w:t>99</w:t>
      </w:r>
      <w:r w:rsidRPr="00FA7919">
        <w:rPr>
          <w:rFonts w:ascii="Times New Roman" w:hAnsi="Times New Roman" w:cs="Times New Roman"/>
          <w:sz w:val="24"/>
          <w:szCs w:val="24"/>
        </w:rPr>
        <w:t xml:space="preserve"> µg m</w:t>
      </w:r>
      <w:r w:rsidRPr="00FA791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16</w:t>
      </w:r>
      <w:r w:rsidRPr="00FA7919">
        <w:rPr>
          <w:rFonts w:ascii="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28</w:t>
      </w:r>
      <w:r w:rsidRPr="00FA7919">
        <w:rPr>
          <w:rFonts w:ascii="Times New Roman" w:hAnsi="Times New Roman" w:cs="Times New Roman"/>
          <w:sz w:val="24"/>
          <w:szCs w:val="24"/>
        </w:rPr>
        <w:t>)</w:t>
      </w:r>
      <w:r>
        <w:rPr>
          <w:rFonts w:ascii="Times New Roman" w:eastAsia="Times New Roman" w:hAnsi="Times New Roman" w:cs="Times New Roman"/>
          <w:sz w:val="24"/>
          <w:szCs w:val="24"/>
        </w:rPr>
        <w:t xml:space="preserve"> and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10</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FA7919">
        <w:rPr>
          <w:rFonts w:ascii="Times New Roman" w:hAnsi="Times New Roman" w:cs="Times New Roman"/>
          <w:sz w:val="24"/>
          <w:szCs w:val="24"/>
        </w:rPr>
        <w:t>−</w:t>
      </w:r>
      <w:r>
        <w:rPr>
          <w:rFonts w:ascii="Times New Roman" w:hAnsi="Times New Roman" w:cs="Times New Roman"/>
          <w:sz w:val="24"/>
          <w:szCs w:val="24"/>
        </w:rPr>
        <w:t>1.6</w:t>
      </w:r>
      <w:r w:rsidRPr="00FA7919">
        <w:rPr>
          <w:rFonts w:ascii="Times New Roman" w:hAnsi="Times New Roman" w:cs="Times New Roman"/>
          <w:sz w:val="24"/>
          <w:szCs w:val="24"/>
        </w:rPr>
        <w:t xml:space="preserve"> ± </w:t>
      </w:r>
      <w:r>
        <w:rPr>
          <w:rFonts w:ascii="Times New Roman" w:hAnsi="Times New Roman" w:cs="Times New Roman"/>
          <w:sz w:val="24"/>
          <w:szCs w:val="24"/>
        </w:rPr>
        <w:t>1.0</w:t>
      </w:r>
      <w:r w:rsidRPr="00FA7919">
        <w:rPr>
          <w:rFonts w:ascii="Times New Roman" w:hAnsi="Times New Roman" w:cs="Times New Roman"/>
          <w:sz w:val="24"/>
          <w:szCs w:val="24"/>
        </w:rPr>
        <w:t xml:space="preserve"> µg m</w:t>
      </w:r>
      <w:r w:rsidRPr="00FA791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13</w:t>
      </w:r>
      <w:r w:rsidRPr="00FA7919">
        <w:rPr>
          <w:rFonts w:ascii="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27</w:t>
      </w:r>
      <w:r w:rsidRPr="00FA7919">
        <w:rPr>
          <w:rFonts w:ascii="Times New Roman" w:hAnsi="Times New Roman" w:cs="Times New Roman"/>
          <w:sz w:val="24"/>
          <w:szCs w:val="24"/>
        </w:rPr>
        <w:t>)</w:t>
      </w:r>
      <w:r>
        <w:rPr>
          <w:rFonts w:ascii="Times New Roman" w:eastAsia="Times New Roman" w:hAnsi="Times New Roman" w:cs="Times New Roman"/>
          <w:sz w:val="24"/>
          <w:szCs w:val="24"/>
        </w:rPr>
        <w:t xml:space="preserve">. At FR-Hes, </w:t>
      </w:r>
      <w:r w:rsidRPr="00356E15">
        <w:rPr>
          <w:rFonts w:ascii="Times New Roman" w:hAnsi="Times New Roman" w:cs="Times New Roman"/>
          <w:bCs/>
          <w:sz w:val="24"/>
          <w:szCs w:val="24"/>
        </w:rPr>
        <w:t>P</w:t>
      </w:r>
      <w:r w:rsidRPr="00356E15">
        <w:rPr>
          <w:rFonts w:ascii="Times New Roman" w:hAnsi="Times New Roman" w:cs="Times New Roman"/>
          <w:bCs/>
          <w:sz w:val="24"/>
          <w:szCs w:val="24"/>
          <w:vertAlign w:val="subscript"/>
        </w:rPr>
        <w:t>tot</w:t>
      </w:r>
      <w:r>
        <w:rPr>
          <w:rFonts w:ascii="Times New Roman" w:eastAsia="Times New Roman" w:hAnsi="Times New Roman" w:cs="Times New Roman"/>
          <w:sz w:val="24"/>
          <w:szCs w:val="24"/>
        </w:rPr>
        <w:t xml:space="preserve"> decreased by 82 </w:t>
      </w:r>
      <w:r w:rsidRPr="004F3E51">
        <w:rPr>
          <w:rFonts w:ascii="Times New Roman" w:eastAsia="Times New Roman" w:hAnsi="Times New Roman" w:cs="Times New Roman"/>
          <w:sz w:val="24"/>
          <w:szCs w:val="24"/>
        </w:rPr>
        <w:t xml:space="preserve">mm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01</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IT-MBo received higher </w:t>
      </w:r>
      <w:r w:rsidRPr="00356E15">
        <w:rPr>
          <w:rFonts w:ascii="Times New Roman" w:hAnsi="Times New Roman" w:cs="Times New Roman"/>
          <w:bCs/>
          <w:sz w:val="24"/>
          <w:szCs w:val="24"/>
        </w:rPr>
        <w:t>P</w:t>
      </w:r>
      <w:r w:rsidRPr="00356E15">
        <w:rPr>
          <w:rFonts w:ascii="Times New Roman" w:hAnsi="Times New Roman" w:cs="Times New Roman"/>
          <w:bCs/>
          <w:sz w:val="24"/>
          <w:szCs w:val="24"/>
          <w:vertAlign w:val="subscript"/>
        </w:rPr>
        <w:t>tot</w:t>
      </w:r>
      <w:r>
        <w:rPr>
          <w:rFonts w:ascii="Times New Roman" w:eastAsia="Times New Roman" w:hAnsi="Times New Roman" w:cs="Times New Roman"/>
          <w:sz w:val="24"/>
          <w:szCs w:val="24"/>
        </w:rPr>
        <w:t xml:space="preserve"> </w:t>
      </w:r>
      <w:r w:rsidRPr="009425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+83 </w:t>
      </w:r>
      <w:r w:rsidRPr="004F3E51">
        <w:rPr>
          <w:rFonts w:ascii="Times New Roman" w:eastAsia="Times New Roman" w:hAnsi="Times New Roman" w:cs="Times New Roman"/>
          <w:sz w:val="24"/>
          <w:szCs w:val="24"/>
        </w:rPr>
        <w:t xml:space="preserve">mm, </w:t>
      </w:r>
      <w:r>
        <w:rPr>
          <w:rFonts w:ascii="Times New Roman" w:eastAsia="Times New Roman" w:hAnsi="Times New Roman" w:cs="Times New Roman"/>
          <w:sz w:val="24"/>
          <w:szCs w:val="24"/>
        </w:rPr>
        <w:t>+20</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&lt; .001)</w:t>
      </w:r>
      <w:r>
        <w:rPr>
          <w:rFonts w:ascii="Times New Roman" w:eastAsia="Times New Roman" w:hAnsi="Times New Roman" w:cs="Times New Roman"/>
          <w:sz w:val="24"/>
          <w:szCs w:val="24"/>
        </w:rPr>
        <w:t>. For IT-Tor, mean SW</w:t>
      </w:r>
      <w:r w:rsidRPr="00094F8D">
        <w:rPr>
          <w:rFonts w:ascii="Times New Roman" w:eastAsia="Times New Roman" w:hAnsi="Times New Roman" w:cs="Times New Roman"/>
          <w:sz w:val="24"/>
          <w:szCs w:val="24"/>
          <w:vertAlign w:val="subscript"/>
        </w:rPr>
        <w:t>in</w:t>
      </w:r>
      <w:r>
        <w:rPr>
          <w:rFonts w:ascii="Times New Roman" w:eastAsia="Times New Roman" w:hAnsi="Times New Roman" w:cs="Times New Roman"/>
          <w:sz w:val="24"/>
          <w:szCs w:val="24"/>
        </w:rPr>
        <w:t>, SW</w:t>
      </w:r>
      <w:r w:rsidRPr="00612662">
        <w:rPr>
          <w:rFonts w:ascii="Times New Roman" w:eastAsia="Times New Roman" w:hAnsi="Times New Roman" w:cs="Times New Roman"/>
          <w:sz w:val="24"/>
          <w:szCs w:val="24"/>
          <w:vertAlign w:val="subscript"/>
        </w:rPr>
        <w:t>dif</w:t>
      </w:r>
      <w:r>
        <w:rPr>
          <w:rFonts w:ascii="Times New Roman" w:eastAsia="Times New Roman" w:hAnsi="Times New Roman" w:cs="Times New Roman"/>
          <w:sz w:val="24"/>
          <w:szCs w:val="24"/>
        </w:rPr>
        <w:t xml:space="preserve">, </w:t>
      </w:r>
      <w:r w:rsidRPr="004F3E51">
        <w:rPr>
          <w:rFonts w:ascii="Times New Roman" w:hAnsi="Times New Roman" w:cs="Times New Roman"/>
          <w:sz w:val="24"/>
          <w:szCs w:val="24"/>
        </w:rPr>
        <w:t>SIA</w:t>
      </w:r>
      <w:r w:rsidRPr="004F3E51">
        <w:rPr>
          <w:rFonts w:ascii="Times New Roman" w:hAnsi="Times New Roman" w:cs="Times New Roman"/>
          <w:sz w:val="24"/>
          <w:szCs w:val="24"/>
          <w:vertAlign w:val="subscript"/>
        </w:rPr>
        <w:t>2.5</w:t>
      </w:r>
      <w:r>
        <w:rPr>
          <w:rFonts w:ascii="Times New Roman" w:eastAsia="Times New Roman" w:hAnsi="Times New Roman" w:cs="Times New Roman"/>
          <w:sz w:val="24"/>
          <w:szCs w:val="24"/>
        </w:rPr>
        <w:t xml:space="preserve">,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2.5</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10</w:t>
      </w:r>
      <w:r>
        <w:rPr>
          <w:rFonts w:ascii="Times New Roman" w:hAnsi="Times New Roman" w:cs="Times New Roman"/>
          <w:sz w:val="24"/>
          <w:szCs w:val="24"/>
        </w:rPr>
        <w:t xml:space="preserve"> </w:t>
      </w:r>
      <w:r>
        <w:rPr>
          <w:rFonts w:ascii="Times New Roman" w:eastAsia="Times New Roman" w:hAnsi="Times New Roman" w:cs="Times New Roman"/>
          <w:sz w:val="24"/>
          <w:szCs w:val="24"/>
        </w:rPr>
        <w:t>reduced by 2.6</w:t>
      </w:r>
      <w:r w:rsidRPr="004F3E51">
        <w:rPr>
          <w:rFonts w:ascii="Times New Roman" w:eastAsia="Times New Roman" w:hAnsi="Times New Roman" w:cs="Times New Roman"/>
          <w:sz w:val="24"/>
          <w:szCs w:val="24"/>
        </w:rPr>
        <w:t xml:space="preserve"> W m</w:t>
      </w:r>
      <w:r w:rsidRPr="004F3E51">
        <w:rPr>
          <w:rFonts w:ascii="Times New Roman" w:eastAsia="Times New Roman" w:hAnsi="Times New Roman" w:cs="Times New Roman"/>
          <w:sz w:val="24"/>
          <w:szCs w:val="24"/>
          <w:vertAlign w:val="superscript"/>
        </w:rPr>
        <w:t>−2</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24</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2.9</w:t>
      </w:r>
      <w:r w:rsidRPr="004F3E51">
        <w:rPr>
          <w:rFonts w:ascii="Times New Roman" w:eastAsia="Times New Roman" w:hAnsi="Times New Roman" w:cs="Times New Roman"/>
          <w:sz w:val="24"/>
          <w:szCs w:val="24"/>
        </w:rPr>
        <w:t xml:space="preserve"> W m</w:t>
      </w:r>
      <w:r w:rsidRPr="004F3E51">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(−3.5</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001</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0.97</w:t>
      </w:r>
      <w:r w:rsidRPr="00FA7919">
        <w:rPr>
          <w:rFonts w:ascii="Times New Roman" w:hAnsi="Times New Roman" w:cs="Times New Roman"/>
          <w:sz w:val="24"/>
          <w:szCs w:val="24"/>
        </w:rPr>
        <w:t xml:space="preserve"> µg m</w:t>
      </w:r>
      <w:r w:rsidRPr="00FA791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20</w:t>
      </w:r>
      <w:r w:rsidRPr="00FA7919">
        <w:rPr>
          <w:rFonts w:ascii="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001</w:t>
      </w:r>
      <w:r w:rsidRPr="00FA7919">
        <w:rPr>
          <w:rFonts w:ascii="Times New Roman" w:hAnsi="Times New Roman" w:cs="Times New Roman"/>
          <w:sz w:val="24"/>
          <w:szCs w:val="24"/>
        </w:rPr>
        <w:t>)</w:t>
      </w:r>
      <w:r>
        <w:rPr>
          <w:rFonts w:ascii="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1.4</w:t>
      </w:r>
      <w:r w:rsidRPr="00FA7919">
        <w:rPr>
          <w:rFonts w:ascii="Times New Roman" w:hAnsi="Times New Roman" w:cs="Times New Roman"/>
          <w:sz w:val="24"/>
          <w:szCs w:val="24"/>
        </w:rPr>
        <w:t xml:space="preserve"> µg m</w:t>
      </w:r>
      <w:r w:rsidRPr="00FA791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29</w:t>
      </w:r>
      <w:r w:rsidRPr="00FA7919">
        <w:rPr>
          <w:rFonts w:ascii="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001</w:t>
      </w:r>
      <w:r w:rsidRPr="00FA7919">
        <w:rPr>
          <w:rFonts w:ascii="Times New Roman" w:hAnsi="Times New Roman" w:cs="Times New Roman"/>
          <w:sz w:val="24"/>
          <w:szCs w:val="24"/>
        </w:rPr>
        <w:t>)</w:t>
      </w:r>
      <w:r>
        <w:rPr>
          <w:rFonts w:ascii="Times New Roman" w:hAnsi="Times New Roman" w:cs="Times New Roman"/>
          <w:sz w:val="24"/>
          <w:szCs w:val="24"/>
        </w:rPr>
        <w:t xml:space="preserve"> and 0.99</w:t>
      </w:r>
      <w:r w:rsidRPr="00FA7919">
        <w:rPr>
          <w:rFonts w:ascii="Times New Roman" w:hAnsi="Times New Roman" w:cs="Times New Roman"/>
          <w:sz w:val="24"/>
          <w:szCs w:val="24"/>
        </w:rPr>
        <w:t xml:space="preserve"> µg m</w:t>
      </w:r>
      <w:r w:rsidRPr="00FA7919">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FA7919">
        <w:rPr>
          <w:rFonts w:ascii="Times New Roman" w:hAnsi="Times New Roman" w:cs="Times New Roman"/>
          <w:sz w:val="24"/>
          <w:szCs w:val="24"/>
        </w:rPr>
        <w:t>−</w:t>
      </w:r>
      <w:r>
        <w:rPr>
          <w:rFonts w:ascii="Times New Roman" w:hAnsi="Times New Roman" w:cs="Times New Roman"/>
          <w:sz w:val="24"/>
          <w:szCs w:val="24"/>
        </w:rPr>
        <w:t>15</w:t>
      </w:r>
      <w:r w:rsidRPr="00FA7919">
        <w:rPr>
          <w:rFonts w:ascii="Times New Roman" w:hAnsi="Times New Roman" w:cs="Times New Roman"/>
          <w:sz w:val="24"/>
          <w:szCs w:val="24"/>
        </w:rPr>
        <w:t>%</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001</w:t>
      </w:r>
      <w:r w:rsidRPr="00FA791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in spring 2020, respectively, while </w:t>
      </w:r>
      <w:r w:rsidRPr="00356E15">
        <w:rPr>
          <w:rFonts w:ascii="Times New Roman" w:hAnsi="Times New Roman" w:cs="Times New Roman"/>
          <w:bCs/>
          <w:sz w:val="24"/>
          <w:szCs w:val="24"/>
        </w:rPr>
        <w:t>P</w:t>
      </w:r>
      <w:r w:rsidRPr="00356E15">
        <w:rPr>
          <w:rFonts w:ascii="Times New Roman" w:hAnsi="Times New Roman" w:cs="Times New Roman"/>
          <w:bCs/>
          <w:sz w:val="24"/>
          <w:szCs w:val="24"/>
          <w:vertAlign w:val="subscript"/>
        </w:rPr>
        <w:t>tot</w:t>
      </w:r>
      <w:r>
        <w:rPr>
          <w:rFonts w:ascii="Times New Roman" w:eastAsia="Times New Roman" w:hAnsi="Times New Roman" w:cs="Times New Roman"/>
          <w:sz w:val="24"/>
          <w:szCs w:val="24"/>
        </w:rPr>
        <w:t xml:space="preserve"> increased by +22 mm (+6.5%,</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4F3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41). </w:t>
      </w:r>
      <w:r w:rsidRPr="00A348F8">
        <w:rPr>
          <w:rFonts w:ascii="Times New Roman" w:hAnsi="Times New Roman" w:cs="Times New Roman"/>
          <w:sz w:val="24"/>
          <w:szCs w:val="24"/>
        </w:rPr>
        <w:t>There was a s</w:t>
      </w:r>
      <w:r>
        <w:rPr>
          <w:rFonts w:ascii="Times New Roman" w:hAnsi="Times New Roman" w:cs="Times New Roman"/>
          <w:sz w:val="24"/>
          <w:szCs w:val="24"/>
        </w:rPr>
        <w:t xml:space="preserve">ubstantial </w:t>
      </w:r>
      <w:r w:rsidRPr="00A348F8">
        <w:rPr>
          <w:rFonts w:ascii="Times New Roman" w:hAnsi="Times New Roman" w:cs="Times New Roman"/>
          <w:sz w:val="24"/>
          <w:szCs w:val="24"/>
        </w:rPr>
        <w:t xml:space="preserve">increase in </w:t>
      </w:r>
      <w:r w:rsidRPr="00A348F8">
        <w:rPr>
          <w:rFonts w:ascii="Times New Roman" w:eastAsia="Times New Roman" w:hAnsi="Times New Roman" w:cs="Times New Roman"/>
          <w:i/>
          <w:iCs/>
          <w:color w:val="000000" w:themeColor="text1"/>
          <w:kern w:val="24"/>
          <w:sz w:val="24"/>
          <w:szCs w:val="24"/>
        </w:rPr>
        <w:t>α</w:t>
      </w:r>
      <w:r w:rsidRPr="00A348F8">
        <w:rPr>
          <w:rFonts w:ascii="Times New Roman" w:eastAsia="Times New Roman" w:hAnsi="Times New Roman" w:cs="Times New Roman"/>
          <w:color w:val="000000" w:themeColor="text1"/>
          <w:kern w:val="24"/>
          <w:sz w:val="24"/>
          <w:szCs w:val="24"/>
        </w:rPr>
        <w:t xml:space="preserve"> (</w:t>
      </w:r>
      <w:r w:rsidRPr="00A348F8">
        <w:rPr>
          <w:rFonts w:ascii="Times New Roman" w:eastAsia="Times New Roman" w:hAnsi="Times New Roman" w:cs="Times New Roman"/>
          <w:sz w:val="24"/>
          <w:szCs w:val="24"/>
        </w:rPr>
        <w:t>+0.0</w:t>
      </w:r>
      <w:r>
        <w:rPr>
          <w:rFonts w:ascii="Times New Roman" w:eastAsia="Times New Roman" w:hAnsi="Times New Roman" w:cs="Times New Roman"/>
          <w:sz w:val="24"/>
          <w:szCs w:val="24"/>
        </w:rPr>
        <w:t>5</w:t>
      </w:r>
      <w:r w:rsidRPr="00A348F8">
        <w:rPr>
          <w:rFonts w:ascii="Times New Roman" w:eastAsia="Times New Roman" w:hAnsi="Times New Roman" w:cs="Times New Roman"/>
          <w:sz w:val="24"/>
          <w:szCs w:val="24"/>
        </w:rPr>
        <w:t xml:space="preserve"> ± 0.0</w:t>
      </w:r>
      <w:r>
        <w:rPr>
          <w:rFonts w:ascii="Times New Roman" w:eastAsia="Times New Roman" w:hAnsi="Times New Roman" w:cs="Times New Roman"/>
          <w:sz w:val="24"/>
          <w:szCs w:val="24"/>
        </w:rPr>
        <w:t>3</w:t>
      </w:r>
      <w:r w:rsidRPr="00A348F8">
        <w:rPr>
          <w:rFonts w:ascii="Times New Roman" w:eastAsia="Times New Roman" w:hAnsi="Times New Roman" w:cs="Times New Roman"/>
          <w:sz w:val="24"/>
          <w:szCs w:val="24"/>
        </w:rPr>
        <w:t xml:space="preserve"> </w:t>
      </w:r>
      <w:r w:rsidRPr="00A348F8">
        <w:rPr>
          <w:rFonts w:ascii="Times New Roman" w:eastAsia="Times New Roman" w:hAnsi="Times New Roman" w:cs="Times New Roman"/>
          <w:iCs/>
          <w:color w:val="000000" w:themeColor="text1"/>
          <w:kern w:val="24"/>
          <w:sz w:val="24"/>
          <w:szCs w:val="24"/>
        </w:rPr>
        <w:t>µmol CO</w:t>
      </w:r>
      <w:r w:rsidRPr="00A348F8">
        <w:rPr>
          <w:rFonts w:ascii="Times New Roman" w:eastAsia="Times New Roman" w:hAnsi="Times New Roman" w:cs="Times New Roman"/>
          <w:iCs/>
          <w:color w:val="000000" w:themeColor="text1"/>
          <w:kern w:val="24"/>
          <w:sz w:val="24"/>
          <w:szCs w:val="24"/>
          <w:vertAlign w:val="subscript"/>
        </w:rPr>
        <w:t>2</w:t>
      </w:r>
      <w:r w:rsidRPr="00A348F8">
        <w:rPr>
          <w:rFonts w:ascii="Times New Roman" w:eastAsia="Times New Roman" w:hAnsi="Times New Roman" w:cs="Times New Roman"/>
          <w:iCs/>
          <w:color w:val="000000" w:themeColor="text1"/>
          <w:kern w:val="24"/>
          <w:sz w:val="24"/>
          <w:szCs w:val="24"/>
        </w:rPr>
        <w:t> J</w:t>
      </w:r>
      <w:r w:rsidRPr="00A348F8">
        <w:rPr>
          <w:rFonts w:ascii="Times New Roman" w:eastAsia="Times New Roman" w:hAnsi="Times New Roman" w:cs="Times New Roman"/>
          <w:iCs/>
          <w:color w:val="000000" w:themeColor="text1"/>
          <w:kern w:val="24"/>
          <w:sz w:val="24"/>
          <w:szCs w:val="24"/>
          <w:vertAlign w:val="superscript"/>
        </w:rPr>
        <w:t>−1</w:t>
      </w:r>
      <w:r w:rsidRPr="00A348F8">
        <w:rPr>
          <w:rFonts w:ascii="Times New Roman" w:eastAsia="Times New Roman" w:hAnsi="Times New Roman" w:cs="Times New Roman"/>
          <w:iCs/>
          <w:color w:val="000000" w:themeColor="text1"/>
          <w:kern w:val="24"/>
          <w:sz w:val="24"/>
          <w:szCs w:val="24"/>
        </w:rPr>
        <w:t xml:space="preserve">, </w:t>
      </w:r>
      <w:r w:rsidRPr="00A348F8">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A348F8">
        <w:rPr>
          <w:rFonts w:ascii="Times New Roman" w:eastAsia="Times New Roman" w:hAnsi="Times New Roman" w:cs="Times New Roman"/>
          <w:sz w:val="24"/>
          <w:szCs w:val="24"/>
        </w:rPr>
        <w:t xml:space="preserve">4%, </w:t>
      </w:r>
      <w:r w:rsidRPr="00A348F8">
        <w:rPr>
          <w:rFonts w:ascii="Times New Roman" w:eastAsia="Times New Roman" w:hAnsi="Times New Roman" w:cs="Times New Roman"/>
          <w:i/>
          <w:sz w:val="24"/>
          <w:szCs w:val="24"/>
        </w:rPr>
        <w:t>p</w:t>
      </w:r>
      <w:r w:rsidRPr="00A348F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w:t>
      </w:r>
      <w:r w:rsidRPr="00A348F8">
        <w:rPr>
          <w:rFonts w:ascii="Times New Roman" w:eastAsia="Times New Roman" w:hAnsi="Times New Roman" w:cs="Times New Roman"/>
          <w:sz w:val="24"/>
          <w:szCs w:val="24"/>
        </w:rPr>
        <w:t>2)</w:t>
      </w:r>
      <w:r>
        <w:rPr>
          <w:rFonts w:ascii="Times New Roman" w:eastAsia="Times New Roman" w:hAnsi="Times New Roman" w:cs="Times New Roman"/>
          <w:color w:val="000000" w:themeColor="text1"/>
          <w:kern w:val="24"/>
          <w:sz w:val="24"/>
          <w:szCs w:val="24"/>
        </w:rPr>
        <w:t xml:space="preserve"> and </w:t>
      </w:r>
      <w:r w:rsidRPr="00A348F8">
        <w:rPr>
          <w:rFonts w:ascii="Times New Roman" w:eastAsia="Times New Roman" w:hAnsi="Times New Roman" w:cs="Times New Roman"/>
          <w:i/>
          <w:iCs/>
          <w:color w:val="000000" w:themeColor="text1"/>
          <w:kern w:val="24"/>
          <w:sz w:val="24"/>
          <w:szCs w:val="24"/>
        </w:rPr>
        <w:t>P</w:t>
      </w:r>
      <w:r w:rsidRPr="00A348F8">
        <w:rPr>
          <w:rFonts w:ascii="Times New Roman" w:eastAsia="Times New Roman" w:hAnsi="Times New Roman" w:cs="Times New Roman"/>
          <w:i/>
          <w:iCs/>
          <w:color w:val="000000" w:themeColor="text1"/>
          <w:kern w:val="24"/>
          <w:sz w:val="24"/>
          <w:szCs w:val="24"/>
          <w:vertAlign w:val="subscript"/>
        </w:rPr>
        <w:t>max</w:t>
      </w:r>
      <w:r w:rsidRPr="00A348F8">
        <w:rPr>
          <w:rFonts w:ascii="Times New Roman" w:eastAsia="Times New Roman" w:hAnsi="Times New Roman" w:cs="Times New Roman"/>
          <w:color w:val="000000" w:themeColor="text1"/>
          <w:kern w:val="24"/>
          <w:sz w:val="24"/>
          <w:szCs w:val="24"/>
        </w:rPr>
        <w:t xml:space="preserve"> (</w:t>
      </w:r>
      <w:r w:rsidRPr="00A348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5.8 </w:t>
      </w:r>
      <w:r w:rsidRPr="00A348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3.8</w:t>
      </w:r>
      <w:r w:rsidRPr="00A348F8">
        <w:rPr>
          <w:rFonts w:ascii="Times New Roman" w:eastAsia="Times New Roman" w:hAnsi="Times New Roman" w:cs="Times New Roman"/>
          <w:sz w:val="24"/>
          <w:szCs w:val="24"/>
        </w:rPr>
        <w:t xml:space="preserve"> </w:t>
      </w:r>
      <w:r w:rsidRPr="00A348F8">
        <w:rPr>
          <w:rFonts w:ascii="Times New Roman" w:eastAsia="Times New Roman" w:hAnsi="Times New Roman" w:cs="Times New Roman"/>
          <w:iCs/>
          <w:color w:val="000000" w:themeColor="text1"/>
          <w:kern w:val="24"/>
          <w:sz w:val="24"/>
          <w:szCs w:val="24"/>
        </w:rPr>
        <w:t>μmol CO</w:t>
      </w:r>
      <w:r w:rsidRPr="00A348F8">
        <w:rPr>
          <w:rFonts w:ascii="Times New Roman" w:eastAsia="Times New Roman" w:hAnsi="Times New Roman" w:cs="Times New Roman"/>
          <w:iCs/>
          <w:color w:val="000000" w:themeColor="text1"/>
          <w:kern w:val="24"/>
          <w:sz w:val="24"/>
          <w:szCs w:val="24"/>
          <w:vertAlign w:val="subscript"/>
        </w:rPr>
        <w:t>2</w:t>
      </w:r>
      <w:r w:rsidRPr="00A348F8">
        <w:rPr>
          <w:rFonts w:ascii="Times New Roman" w:eastAsia="Times New Roman" w:hAnsi="Times New Roman" w:cs="Times New Roman"/>
          <w:iCs/>
          <w:color w:val="000000" w:themeColor="text1"/>
          <w:kern w:val="24"/>
          <w:sz w:val="24"/>
          <w:szCs w:val="24"/>
        </w:rPr>
        <w:t> m</w:t>
      </w:r>
      <w:r w:rsidRPr="00A348F8">
        <w:rPr>
          <w:rFonts w:ascii="Times New Roman" w:eastAsia="Times New Roman" w:hAnsi="Times New Roman" w:cs="Times New Roman"/>
          <w:iCs/>
          <w:color w:val="000000" w:themeColor="text1"/>
          <w:kern w:val="24"/>
          <w:sz w:val="24"/>
          <w:szCs w:val="24"/>
          <w:vertAlign w:val="superscript"/>
        </w:rPr>
        <w:t>−2</w:t>
      </w:r>
      <w:r w:rsidRPr="00A348F8">
        <w:rPr>
          <w:rFonts w:ascii="Times New Roman" w:eastAsia="Times New Roman" w:hAnsi="Times New Roman" w:cs="Times New Roman"/>
          <w:iCs/>
          <w:color w:val="000000" w:themeColor="text1"/>
          <w:kern w:val="24"/>
          <w:sz w:val="24"/>
          <w:szCs w:val="24"/>
        </w:rPr>
        <w:t> s</w:t>
      </w:r>
      <w:r w:rsidRPr="00A348F8">
        <w:rPr>
          <w:rFonts w:ascii="Times New Roman" w:eastAsia="Times New Roman" w:hAnsi="Times New Roman" w:cs="Times New Roman"/>
          <w:iCs/>
          <w:color w:val="000000" w:themeColor="text1"/>
          <w:kern w:val="24"/>
          <w:sz w:val="24"/>
          <w:szCs w:val="24"/>
          <w:vertAlign w:val="superscript"/>
        </w:rPr>
        <w:t>−1</w:t>
      </w:r>
      <w:r w:rsidRPr="00A348F8">
        <w:rPr>
          <w:rFonts w:ascii="Times New Roman" w:eastAsia="Times New Roman" w:hAnsi="Times New Roman" w:cs="Times New Roman"/>
          <w:iCs/>
          <w:color w:val="000000" w:themeColor="text1"/>
          <w:kern w:val="24"/>
          <w:sz w:val="24"/>
          <w:szCs w:val="24"/>
        </w:rPr>
        <w:t xml:space="preserve">, </w:t>
      </w:r>
      <w:r w:rsidRPr="00A348F8">
        <w:rPr>
          <w:rFonts w:ascii="Times New Roman" w:eastAsia="Times New Roman" w:hAnsi="Times New Roman" w:cs="Times New Roman"/>
          <w:sz w:val="24"/>
          <w:szCs w:val="24"/>
        </w:rPr>
        <w:t>+</w:t>
      </w:r>
      <w:r>
        <w:rPr>
          <w:rFonts w:ascii="Times New Roman" w:eastAsia="Times New Roman" w:hAnsi="Times New Roman" w:cs="Times New Roman"/>
          <w:sz w:val="24"/>
          <w:szCs w:val="24"/>
        </w:rPr>
        <w:t>51</w:t>
      </w:r>
      <w:r w:rsidRPr="00A348F8">
        <w:rPr>
          <w:rFonts w:ascii="Times New Roman" w:eastAsia="Times New Roman" w:hAnsi="Times New Roman" w:cs="Times New Roman"/>
          <w:sz w:val="24"/>
          <w:szCs w:val="24"/>
        </w:rPr>
        <w:t xml:space="preserve">%, </w:t>
      </w:r>
      <w:r w:rsidRPr="00A348F8">
        <w:rPr>
          <w:rFonts w:ascii="Times New Roman" w:eastAsia="Times New Roman" w:hAnsi="Times New Roman" w:cs="Times New Roman"/>
          <w:i/>
          <w:sz w:val="24"/>
          <w:szCs w:val="24"/>
        </w:rPr>
        <w:t>p</w:t>
      </w:r>
      <w:r w:rsidRPr="00A348F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w:t>
      </w:r>
      <w:r w:rsidRPr="00A348F8">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across all sites. </w:t>
      </w:r>
      <w:r>
        <w:rPr>
          <w:rFonts w:ascii="Times New Roman" w:hAnsi="Times New Roman" w:cs="Times New Roman"/>
          <w:sz w:val="24"/>
          <w:szCs w:val="24"/>
        </w:rPr>
        <w:t xml:space="preserve">Despite similar relative changes, </w:t>
      </w:r>
      <w:r>
        <w:rPr>
          <w:rFonts w:ascii="Times New Roman" w:eastAsia="Times New Roman" w:hAnsi="Times New Roman" w:cs="Times New Roman"/>
          <w:sz w:val="24"/>
          <w:szCs w:val="24"/>
        </w:rPr>
        <w:t xml:space="preserve">the concentrations of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2.5</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4F3E51">
        <w:rPr>
          <w:rFonts w:ascii="Times New Roman" w:hAnsi="Times New Roman" w:cs="Times New Roman"/>
          <w:sz w:val="24"/>
          <w:szCs w:val="24"/>
        </w:rPr>
        <w:t>PM</w:t>
      </w:r>
      <w:r w:rsidRPr="004F3E51">
        <w:rPr>
          <w:rFonts w:ascii="Times New Roman" w:hAnsi="Times New Roman" w:cs="Times New Roman"/>
          <w:sz w:val="24"/>
          <w:szCs w:val="24"/>
          <w:vertAlign w:val="subscript"/>
        </w:rPr>
        <w:t>10</w:t>
      </w:r>
      <w:r>
        <w:rPr>
          <w:rFonts w:ascii="Times New Roman" w:hAnsi="Times New Roman" w:cs="Times New Roman"/>
          <w:sz w:val="24"/>
          <w:szCs w:val="24"/>
        </w:rPr>
        <w:t xml:space="preserve"> at IT-MBo were more than twice as </w:t>
      </w:r>
      <w:r>
        <w:rPr>
          <w:rFonts w:ascii="Times New Roman" w:hAnsi="Times New Roman" w:cs="Times New Roman"/>
          <w:sz w:val="24"/>
          <w:szCs w:val="24"/>
        </w:rPr>
        <w:lastRenderedPageBreak/>
        <w:t>high as those at IT-Tor during both the reference period and the spring of 2020.</w:t>
      </w:r>
      <w:r>
        <w:rPr>
          <w:rFonts w:ascii="Times New Roman" w:eastAsia="Times New Roman" w:hAnsi="Times New Roman" w:cs="Times New Roman"/>
          <w:sz w:val="24"/>
          <w:szCs w:val="24"/>
        </w:rPr>
        <w:t xml:space="preserve"> FR-Hes had the highest concentrations of O</w:t>
      </w:r>
      <w:r w:rsidRPr="009E042B">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SO</w:t>
      </w:r>
      <w:r w:rsidRPr="009E042B">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and NH</w:t>
      </w:r>
      <w:r w:rsidRPr="009E042B">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throughout the study period. We can rule out the potential effects of ecosystem management at these sites, as IT-MBo is a </w:t>
      </w:r>
      <w:r w:rsidRPr="00A348F8">
        <w:rPr>
          <w:rFonts w:ascii="Times New Roman" w:hAnsi="Times New Roman" w:cs="Times New Roman"/>
          <w:sz w:val="24"/>
          <w:szCs w:val="24"/>
        </w:rPr>
        <w:t>meadow</w:t>
      </w:r>
      <w:r>
        <w:rPr>
          <w:rFonts w:ascii="Times New Roman" w:hAnsi="Times New Roman" w:cs="Times New Roman"/>
          <w:sz w:val="24"/>
          <w:szCs w:val="24"/>
        </w:rPr>
        <w:t xml:space="preserve"> that is extensively managed</w:t>
      </w:r>
      <w:r w:rsidRPr="00A348F8">
        <w:rPr>
          <w:rFonts w:ascii="Times New Roman" w:hAnsi="Times New Roman" w:cs="Times New Roman"/>
          <w:sz w:val="24"/>
          <w:szCs w:val="24"/>
        </w:rPr>
        <w:t xml:space="preserve"> with low mineral fertilisation and cut once a year in mid-July, wh</w:t>
      </w:r>
      <w:r>
        <w:rPr>
          <w:rFonts w:ascii="Times New Roman" w:hAnsi="Times New Roman" w:cs="Times New Roman"/>
          <w:sz w:val="24"/>
          <w:szCs w:val="24"/>
        </w:rPr>
        <w:t>ile</w:t>
      </w:r>
      <w:r w:rsidRPr="00A348F8">
        <w:rPr>
          <w:rFonts w:ascii="Times New Roman" w:hAnsi="Times New Roman" w:cs="Times New Roman"/>
          <w:sz w:val="24"/>
          <w:szCs w:val="24"/>
        </w:rPr>
        <w:t xml:space="preserve"> IT-Tor is an unmanaged grassland.</w:t>
      </w:r>
    </w:p>
    <w:p w14:paraId="372C6F2C" w14:textId="77777777" w:rsidR="00103AF5" w:rsidRDefault="00103AF5" w:rsidP="00103AF5">
      <w:pPr>
        <w:snapToGrid w:val="0"/>
        <w:spacing w:after="0" w:line="480" w:lineRule="auto"/>
        <w:contextualSpacing/>
        <w:rPr>
          <w:rFonts w:ascii="Times New Roman" w:hAnsi="Times New Roman" w:cs="Times New Roman"/>
          <w:sz w:val="24"/>
          <w:szCs w:val="24"/>
        </w:rPr>
      </w:pPr>
    </w:p>
    <w:p w14:paraId="3EB1BF21" w14:textId="77777777" w:rsidR="00103AF5" w:rsidRPr="00ED6D75" w:rsidRDefault="00103AF5" w:rsidP="00103AF5">
      <w:pPr>
        <w:snapToGrid w:val="0"/>
        <w:spacing w:after="0" w:line="480" w:lineRule="auto"/>
        <w:contextualSpacing/>
        <w:rPr>
          <w:rFonts w:ascii="Times New Roman" w:eastAsia="Times New Roman" w:hAnsi="Times New Roman" w:cs="Times New Roman"/>
          <w:b/>
          <w:bCs/>
          <w:sz w:val="24"/>
          <w:szCs w:val="24"/>
        </w:rPr>
      </w:pPr>
      <w:r w:rsidRPr="00ED6D75">
        <w:rPr>
          <w:rFonts w:ascii="Times New Roman" w:hAnsi="Times New Roman" w:cs="Times New Roman"/>
          <w:b/>
          <w:bCs/>
          <w:sz w:val="24"/>
          <w:szCs w:val="24"/>
        </w:rPr>
        <w:t>3.3.3 GPP anomalies attributed to both meteorology and management</w:t>
      </w:r>
    </w:p>
    <w:p w14:paraId="43FE2E27" w14:textId="77777777" w:rsidR="00103AF5" w:rsidRDefault="00103AF5" w:rsidP="00103AF5">
      <w:pPr>
        <w:snapToGrid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Group 3 comprises three productive grasslands (GRAs) and three savannahs</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(SAVs), which were managed using </w:t>
      </w:r>
      <w:r w:rsidRPr="004F3E51">
        <w:rPr>
          <w:rFonts w:ascii="Times New Roman" w:hAnsi="Times New Roman" w:cs="Times New Roman"/>
          <w:sz w:val="24"/>
          <w:szCs w:val="24"/>
        </w:rPr>
        <w:t>practices such as cutting and fertili</w:t>
      </w:r>
      <w:r>
        <w:rPr>
          <w:rFonts w:ascii="Times New Roman" w:hAnsi="Times New Roman" w:cs="Times New Roman"/>
          <w:sz w:val="24"/>
          <w:szCs w:val="24"/>
        </w:rPr>
        <w:t>z</w:t>
      </w:r>
      <w:r w:rsidRPr="004F3E51">
        <w:rPr>
          <w:rFonts w:ascii="Times New Roman" w:hAnsi="Times New Roman" w:cs="Times New Roman"/>
          <w:sz w:val="24"/>
          <w:szCs w:val="24"/>
        </w:rPr>
        <w:t>er application (BE-Dor, CH-Cha, DE-RuR), grazing (ES-Abr), or grazing and nutrient manipulation experiment (ES-LM1 and ES-LM2)</w:t>
      </w:r>
      <w:r>
        <w:rPr>
          <w:rFonts w:ascii="Times New Roman" w:hAnsi="Times New Roman" w:cs="Times New Roman"/>
          <w:sz w:val="24"/>
          <w:szCs w:val="24"/>
        </w:rPr>
        <w:t xml:space="preserve">. No forest sites were included in this group. Our results show that meteorological factors accounted for less than 55% of the variability in GPP. In spring 2020, GPP increased at all sites in Group 3 </w:t>
      </w:r>
      <w:r w:rsidRPr="004F3E51">
        <w:rPr>
          <w:rFonts w:ascii="Times New Roman" w:hAnsi="Times New Roman" w:cs="Times New Roman"/>
          <w:sz w:val="24"/>
          <w:szCs w:val="24"/>
        </w:rPr>
        <w:t>(81 ± 31 g C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14%)</w:t>
      </w:r>
      <w:r>
        <w:rPr>
          <w:rFonts w:ascii="Times New Roman" w:hAnsi="Times New Roman" w:cs="Times New Roman"/>
          <w:sz w:val="24"/>
          <w:szCs w:val="24"/>
        </w:rPr>
        <w:t xml:space="preserve">, with GRAs showing a larger increase </w:t>
      </w:r>
      <w:r w:rsidRPr="004F3E51">
        <w:rPr>
          <w:rFonts w:ascii="Times New Roman" w:hAnsi="Times New Roman" w:cs="Times New Roman"/>
          <w:sz w:val="24"/>
          <w:szCs w:val="24"/>
        </w:rPr>
        <w:t>(+192 ± 48 g C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+16%)</w:t>
      </w:r>
      <w:r>
        <w:rPr>
          <w:rFonts w:ascii="Times New Roman" w:hAnsi="Times New Roman" w:cs="Times New Roman"/>
          <w:sz w:val="24"/>
          <w:szCs w:val="24"/>
        </w:rPr>
        <w:t xml:space="preserve"> than SAVs </w:t>
      </w:r>
      <w:r w:rsidRPr="004F3E51">
        <w:rPr>
          <w:rFonts w:ascii="Times New Roman" w:hAnsi="Times New Roman" w:cs="Times New Roman"/>
          <w:sz w:val="24"/>
          <w:szCs w:val="24"/>
        </w:rPr>
        <w:t>(+81 ± 31 g C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+14%)</w:t>
      </w:r>
      <w:r>
        <w:rPr>
          <w:rFonts w:ascii="Times New Roman" w:hAnsi="Times New Roman" w:cs="Times New Roman"/>
          <w:sz w:val="24"/>
          <w:szCs w:val="24"/>
        </w:rPr>
        <w:t xml:space="preserve">. The difference can be partly attributed to a positive anomaly in </w:t>
      </w:r>
      <w:r w:rsidRPr="004F3E51">
        <w:rPr>
          <w:rFonts w:ascii="Times New Roman" w:hAnsi="Times New Roman" w:cs="Times New Roman"/>
          <w:sz w:val="24"/>
          <w:szCs w:val="24"/>
        </w:rPr>
        <w:t>SW</w:t>
      </w:r>
      <w:r w:rsidRPr="004F3E51">
        <w:rPr>
          <w:rFonts w:ascii="Times New Roman" w:hAnsi="Times New Roman" w:cs="Times New Roman"/>
          <w:sz w:val="24"/>
          <w:szCs w:val="24"/>
          <w:vertAlign w:val="subscript"/>
        </w:rPr>
        <w:t>in</w:t>
      </w:r>
      <w:r>
        <w:rPr>
          <w:rFonts w:ascii="Times New Roman" w:hAnsi="Times New Roman" w:cs="Times New Roman"/>
          <w:sz w:val="24"/>
          <w:szCs w:val="24"/>
        </w:rPr>
        <w:t xml:space="preserve"> at GRAs</w:t>
      </w:r>
      <w:r w:rsidRPr="004F3E51">
        <w:rPr>
          <w:rFonts w:ascii="Times New Roman" w:hAnsi="Times New Roman" w:cs="Times New Roman"/>
          <w:sz w:val="24"/>
          <w:szCs w:val="24"/>
        </w:rPr>
        <w:t xml:space="preserve"> (+26 ± 6.4 W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xml:space="preserve">, +14%, </w:t>
      </w:r>
      <w:r w:rsidRPr="004F3E51">
        <w:rPr>
          <w:rFonts w:ascii="Times New Roman" w:hAnsi="Times New Roman" w:cs="Times New Roman"/>
          <w:i/>
          <w:iCs/>
          <w:sz w:val="24"/>
          <w:szCs w:val="24"/>
        </w:rPr>
        <w:t>p</w:t>
      </w:r>
      <w:r w:rsidRPr="004F3E51">
        <w:rPr>
          <w:rFonts w:ascii="Times New Roman" w:hAnsi="Times New Roman" w:cs="Times New Roman"/>
          <w:sz w:val="24"/>
          <w:szCs w:val="24"/>
        </w:rPr>
        <w:t xml:space="preserve"> = .02)</w:t>
      </w:r>
      <w:r>
        <w:rPr>
          <w:rFonts w:ascii="Times New Roman" w:hAnsi="Times New Roman" w:cs="Times New Roman"/>
          <w:sz w:val="24"/>
          <w:szCs w:val="24"/>
        </w:rPr>
        <w:t>,</w:t>
      </w:r>
      <w:r w:rsidRPr="004F3E51">
        <w:rPr>
          <w:rFonts w:ascii="Times New Roman" w:hAnsi="Times New Roman" w:cs="Times New Roman"/>
          <w:sz w:val="24"/>
          <w:szCs w:val="24"/>
        </w:rPr>
        <w:t xml:space="preserve"> </w:t>
      </w:r>
      <w:r>
        <w:rPr>
          <w:rFonts w:ascii="Times New Roman" w:hAnsi="Times New Roman" w:cs="Times New Roman"/>
          <w:sz w:val="24"/>
          <w:szCs w:val="24"/>
        </w:rPr>
        <w:t>which coincided with a</w:t>
      </w:r>
      <w:r w:rsidRPr="004F3E51">
        <w:rPr>
          <w:rFonts w:ascii="Times New Roman" w:hAnsi="Times New Roman" w:cs="Times New Roman"/>
          <w:sz w:val="24"/>
          <w:szCs w:val="24"/>
        </w:rPr>
        <w:t xml:space="preserve"> decrease of SW</w:t>
      </w:r>
      <w:r w:rsidRPr="004F3E51">
        <w:rPr>
          <w:rFonts w:ascii="Times New Roman" w:hAnsi="Times New Roman" w:cs="Times New Roman"/>
          <w:sz w:val="24"/>
          <w:szCs w:val="24"/>
          <w:vertAlign w:val="subscript"/>
        </w:rPr>
        <w:t>dif</w:t>
      </w:r>
      <w:r w:rsidRPr="004F3E51">
        <w:rPr>
          <w:rFonts w:ascii="Times New Roman" w:hAnsi="Times New Roman" w:cs="Times New Roman"/>
          <w:sz w:val="24"/>
          <w:szCs w:val="24"/>
        </w:rPr>
        <w:t xml:space="preserve"> (−7.6 ± 2.0 W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xml:space="preserve">, −8.7%, </w:t>
      </w:r>
      <w:r w:rsidRPr="004F3E51">
        <w:rPr>
          <w:rFonts w:ascii="Times New Roman" w:hAnsi="Times New Roman" w:cs="Times New Roman"/>
          <w:i/>
          <w:iCs/>
          <w:sz w:val="24"/>
          <w:szCs w:val="24"/>
        </w:rPr>
        <w:t>p</w:t>
      </w:r>
      <w:r w:rsidRPr="004F3E51">
        <w:rPr>
          <w:rFonts w:ascii="Times New Roman" w:hAnsi="Times New Roman" w:cs="Times New Roman"/>
          <w:sz w:val="24"/>
          <w:szCs w:val="24"/>
        </w:rPr>
        <w:t xml:space="preserve"> = .02).</w:t>
      </w:r>
      <w:r>
        <w:rPr>
          <w:rFonts w:ascii="Times New Roman" w:hAnsi="Times New Roman" w:cs="Times New Roman"/>
          <w:sz w:val="24"/>
          <w:szCs w:val="24"/>
        </w:rPr>
        <w:t xml:space="preserve"> In contrast, SAVs showed </w:t>
      </w:r>
      <w:r w:rsidRPr="004F3E51">
        <w:rPr>
          <w:rFonts w:ascii="Times New Roman" w:hAnsi="Times New Roman" w:cs="Times New Roman"/>
          <w:sz w:val="24"/>
          <w:szCs w:val="24"/>
        </w:rPr>
        <w:t>reduced SW</w:t>
      </w:r>
      <w:r w:rsidRPr="004F3E51">
        <w:rPr>
          <w:rFonts w:ascii="Times New Roman" w:hAnsi="Times New Roman" w:cs="Times New Roman"/>
          <w:sz w:val="24"/>
          <w:szCs w:val="24"/>
          <w:vertAlign w:val="subscript"/>
        </w:rPr>
        <w:t>in</w:t>
      </w:r>
      <w:r w:rsidRPr="004F3E51">
        <w:rPr>
          <w:rFonts w:ascii="Times New Roman" w:hAnsi="Times New Roman" w:cs="Times New Roman"/>
          <w:sz w:val="24"/>
          <w:szCs w:val="24"/>
        </w:rPr>
        <w:t xml:space="preserve"> (−11 ± 4.2 W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xml:space="preserve">, −4.5%, </w:t>
      </w:r>
      <w:r w:rsidRPr="004F3E51">
        <w:rPr>
          <w:rFonts w:ascii="Times New Roman" w:hAnsi="Times New Roman" w:cs="Times New Roman"/>
          <w:i/>
          <w:iCs/>
          <w:sz w:val="24"/>
          <w:szCs w:val="24"/>
        </w:rPr>
        <w:t>p</w:t>
      </w:r>
      <w:r w:rsidRPr="004F3E51">
        <w:rPr>
          <w:rFonts w:ascii="Times New Roman" w:hAnsi="Times New Roman" w:cs="Times New Roman"/>
          <w:sz w:val="24"/>
          <w:szCs w:val="24"/>
        </w:rPr>
        <w:t xml:space="preserve"> = .04) and increased SW</w:t>
      </w:r>
      <w:r w:rsidRPr="004F3E51">
        <w:rPr>
          <w:rFonts w:ascii="Times New Roman" w:hAnsi="Times New Roman" w:cs="Times New Roman"/>
          <w:sz w:val="24"/>
          <w:szCs w:val="24"/>
          <w:vertAlign w:val="subscript"/>
        </w:rPr>
        <w:t>dif</w:t>
      </w:r>
      <w:r w:rsidRPr="004F3E51">
        <w:rPr>
          <w:rFonts w:ascii="Times New Roman" w:hAnsi="Times New Roman" w:cs="Times New Roman"/>
          <w:sz w:val="24"/>
          <w:szCs w:val="24"/>
        </w:rPr>
        <w:t xml:space="preserve"> (+6.4 ± 0.76 W m</w:t>
      </w:r>
      <w:r w:rsidRPr="004F3E51">
        <w:rPr>
          <w:rFonts w:ascii="Times New Roman" w:hAnsi="Times New Roman" w:cs="Times New Roman"/>
          <w:sz w:val="24"/>
          <w:szCs w:val="24"/>
          <w:vertAlign w:val="superscript"/>
        </w:rPr>
        <w:t>−2</w:t>
      </w:r>
      <w:r w:rsidRPr="004F3E51">
        <w:rPr>
          <w:rFonts w:ascii="Times New Roman" w:hAnsi="Times New Roman" w:cs="Times New Roman"/>
          <w:sz w:val="24"/>
          <w:szCs w:val="24"/>
        </w:rPr>
        <w:t>, +8.6%)</w:t>
      </w:r>
      <w:r>
        <w:rPr>
          <w:rFonts w:ascii="Times New Roman" w:hAnsi="Times New Roman" w:cs="Times New Roman"/>
          <w:sz w:val="24"/>
          <w:szCs w:val="24"/>
        </w:rPr>
        <w:t xml:space="preserve">. The negative response of </w:t>
      </w:r>
      <w:r w:rsidRPr="004F3E51">
        <w:rPr>
          <w:rFonts w:ascii="Times New Roman" w:hAnsi="Times New Roman" w:cs="Times New Roman"/>
          <w:sz w:val="24"/>
          <w:szCs w:val="24"/>
        </w:rPr>
        <w:t>∆</w:t>
      </w:r>
      <w:r w:rsidRPr="00650937">
        <w:rPr>
          <w:rFonts w:ascii="Times New Roman" w:hAnsi="Times New Roman" w:cs="Times New Roman"/>
          <w:sz w:val="24"/>
          <w:szCs w:val="24"/>
        </w:rPr>
        <w:t>T</w:t>
      </w:r>
      <w:r w:rsidRPr="00650937">
        <w:rPr>
          <w:rFonts w:ascii="Times New Roman" w:hAnsi="Times New Roman" w:cs="Times New Roman"/>
          <w:sz w:val="24"/>
          <w:szCs w:val="24"/>
          <w:vertAlign w:val="subscript"/>
        </w:rPr>
        <w:t>a</w:t>
      </w:r>
      <w:r>
        <w:rPr>
          <w:rFonts w:ascii="Times New Roman" w:hAnsi="Times New Roman" w:cs="Times New Roman"/>
          <w:sz w:val="24"/>
          <w:szCs w:val="24"/>
        </w:rPr>
        <w:t xml:space="preserve"> on </w:t>
      </w:r>
      <w:r w:rsidRPr="004F3E51">
        <w:rPr>
          <w:rFonts w:ascii="Times New Roman" w:hAnsi="Times New Roman" w:cs="Times New Roman"/>
          <w:sz w:val="24"/>
          <w:szCs w:val="24"/>
        </w:rPr>
        <w:t>∆</w:t>
      </w:r>
      <w:r>
        <w:rPr>
          <w:rFonts w:ascii="Times New Roman" w:hAnsi="Times New Roman" w:cs="Times New Roman"/>
          <w:sz w:val="24"/>
          <w:szCs w:val="24"/>
        </w:rPr>
        <w:t xml:space="preserve">GPP in the SAVs, as opposed to the GRAs </w:t>
      </w:r>
      <w:r w:rsidRPr="004F3E51">
        <w:rPr>
          <w:rFonts w:ascii="Times New Roman" w:hAnsi="Times New Roman" w:cs="Times New Roman"/>
          <w:sz w:val="24"/>
          <w:szCs w:val="24"/>
        </w:rPr>
        <w:t xml:space="preserve">(Fig. </w:t>
      </w:r>
      <w:r>
        <w:rPr>
          <w:rFonts w:ascii="Times New Roman" w:hAnsi="Times New Roman" w:cs="Times New Roman"/>
          <w:sz w:val="24"/>
          <w:szCs w:val="24"/>
        </w:rPr>
        <w:t>S3</w:t>
      </w:r>
      <w:r w:rsidRPr="004F3E51">
        <w:rPr>
          <w:rFonts w:ascii="Times New Roman" w:hAnsi="Times New Roman" w:cs="Times New Roman"/>
          <w:sz w:val="24"/>
          <w:szCs w:val="24"/>
        </w:rPr>
        <w:t>)</w:t>
      </w:r>
      <w:r>
        <w:rPr>
          <w:rFonts w:ascii="Times New Roman" w:hAnsi="Times New Roman" w:cs="Times New Roman"/>
          <w:sz w:val="24"/>
          <w:szCs w:val="24"/>
        </w:rPr>
        <w:t xml:space="preserve"> can be attributed to </w:t>
      </w:r>
      <w:r w:rsidRPr="004F3E51">
        <w:rPr>
          <w:rFonts w:ascii="Times New Roman" w:hAnsi="Times New Roman" w:cs="Times New Roman"/>
          <w:sz w:val="24"/>
          <w:szCs w:val="24"/>
        </w:rPr>
        <w:t>warmer temperature (+0.46 ± 0.08</w:t>
      </w:r>
      <w:r w:rsidRPr="004F3E51">
        <w:rPr>
          <w:rFonts w:ascii="Times New Roman" w:hAnsi="Times New Roman" w:cs="Times New Roman"/>
          <w:sz w:val="24"/>
          <w:szCs w:val="24"/>
          <w:vertAlign w:val="superscript"/>
        </w:rPr>
        <w:t xml:space="preserve"> </w:t>
      </w:r>
      <w:r w:rsidRPr="004F3E51">
        <w:rPr>
          <w:rFonts w:ascii="Times New Roman" w:hAnsi="Times New Roman" w:cs="Times New Roman"/>
          <w:sz w:val="24"/>
          <w:szCs w:val="24"/>
        </w:rPr>
        <w:t>°C, +2.7%</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 .01</w:t>
      </w:r>
      <w:r w:rsidRPr="004F3E51">
        <w:rPr>
          <w:rFonts w:ascii="Times New Roman" w:hAnsi="Times New Roman" w:cs="Times New Roman"/>
          <w:sz w:val="24"/>
          <w:szCs w:val="24"/>
        </w:rPr>
        <w:t>) and decreased water availability (∆</w:t>
      </w:r>
      <w:r w:rsidRPr="00356E15">
        <w:rPr>
          <w:rFonts w:ascii="Times New Roman" w:hAnsi="Times New Roman" w:cs="Times New Roman"/>
          <w:bCs/>
          <w:sz w:val="24"/>
          <w:szCs w:val="24"/>
        </w:rPr>
        <w:t>P</w:t>
      </w:r>
      <w:r w:rsidRPr="00356E15">
        <w:rPr>
          <w:rFonts w:ascii="Times New Roman" w:hAnsi="Times New Roman" w:cs="Times New Roman"/>
          <w:bCs/>
          <w:sz w:val="24"/>
          <w:szCs w:val="24"/>
          <w:vertAlign w:val="subscript"/>
        </w:rPr>
        <w:t>tot</w:t>
      </w:r>
      <w:r w:rsidRPr="004F3E51">
        <w:rPr>
          <w:rFonts w:ascii="Times New Roman" w:hAnsi="Times New Roman" w:cs="Times New Roman"/>
          <w:sz w:val="24"/>
          <w:szCs w:val="24"/>
        </w:rPr>
        <w:t xml:space="preserve"> = −14 ± 16 mm, −8.1%</w:t>
      </w:r>
      <w:r w:rsidRPr="004F3E51">
        <w:rPr>
          <w:rFonts w:ascii="Times New Roman" w:eastAsia="Times New Roman" w:hAnsi="Times New Roman" w:cs="Times New Roman"/>
          <w:sz w:val="24"/>
          <w:szCs w:val="24"/>
        </w:rPr>
        <w:t xml:space="preserve">, </w:t>
      </w:r>
      <w:r w:rsidRPr="004F3E51">
        <w:rPr>
          <w:rFonts w:ascii="Times New Roman" w:eastAsia="Times New Roman" w:hAnsi="Times New Roman" w:cs="Times New Roman"/>
          <w:i/>
          <w:sz w:val="24"/>
          <w:szCs w:val="24"/>
        </w:rPr>
        <w:t>p</w:t>
      </w:r>
      <w:r w:rsidRPr="004F3E51">
        <w:rPr>
          <w:rFonts w:ascii="Times New Roman" w:eastAsia="Times New Roman" w:hAnsi="Times New Roman" w:cs="Times New Roman"/>
          <w:sz w:val="24"/>
          <w:szCs w:val="24"/>
        </w:rPr>
        <w:t xml:space="preserve"> = .27</w:t>
      </w:r>
      <w:r w:rsidRPr="004F3E51">
        <w:rPr>
          <w:rFonts w:ascii="Times New Roman" w:hAnsi="Times New Roman" w:cs="Times New Roman"/>
          <w:sz w:val="24"/>
          <w:szCs w:val="24"/>
        </w:rPr>
        <w:t>)</w:t>
      </w:r>
      <w:r>
        <w:rPr>
          <w:rFonts w:ascii="Times New Roman" w:hAnsi="Times New Roman" w:cs="Times New Roman"/>
          <w:sz w:val="24"/>
          <w:szCs w:val="24"/>
        </w:rPr>
        <w:t xml:space="preserve"> that led to </w:t>
      </w:r>
      <w:r w:rsidRPr="004F3E51">
        <w:rPr>
          <w:rFonts w:ascii="Times New Roman" w:hAnsi="Times New Roman" w:cs="Times New Roman"/>
          <w:sz w:val="24"/>
          <w:szCs w:val="24"/>
        </w:rPr>
        <w:t>early senescence</w:t>
      </w:r>
      <w:r>
        <w:rPr>
          <w:rFonts w:ascii="Times New Roman" w:hAnsi="Times New Roman" w:cs="Times New Roman"/>
          <w:sz w:val="24"/>
          <w:szCs w:val="24"/>
        </w:rPr>
        <w:t xml:space="preserve"> in spring 2020, given that the management practices were similar during the study period.</w:t>
      </w:r>
    </w:p>
    <w:p w14:paraId="093D6DDB" w14:textId="77777777" w:rsidR="00103AF5" w:rsidRDefault="00103AF5" w:rsidP="00103AF5">
      <w:pPr>
        <w:snapToGrid w:val="0"/>
        <w:spacing w:after="0" w:line="480" w:lineRule="auto"/>
        <w:ind w:firstLine="360"/>
        <w:contextualSpacing/>
        <w:rPr>
          <w:rFonts w:ascii="Times New Roman" w:hAnsi="Times New Roman" w:cs="Times New Roman"/>
          <w:sz w:val="24"/>
          <w:szCs w:val="24"/>
        </w:rPr>
      </w:pPr>
    </w:p>
    <w:p w14:paraId="14AC1C50" w14:textId="77777777" w:rsidR="00103AF5" w:rsidRDefault="00103AF5" w:rsidP="00103AF5">
      <w:pPr>
        <w:pStyle w:val="ListParagraph"/>
        <w:numPr>
          <w:ilvl w:val="0"/>
          <w:numId w:val="5"/>
        </w:numPr>
        <w:snapToGrid w:val="0"/>
        <w:spacing w:after="0" w:line="480" w:lineRule="auto"/>
        <w:rPr>
          <w:rFonts w:ascii="Times New Roman" w:hAnsi="Times New Roman" w:cs="Times New Roman"/>
          <w:b/>
          <w:sz w:val="24"/>
          <w:szCs w:val="24"/>
        </w:rPr>
      </w:pPr>
      <w:r w:rsidRPr="00DD721B">
        <w:rPr>
          <w:rFonts w:ascii="Times New Roman" w:hAnsi="Times New Roman" w:cs="Times New Roman"/>
          <w:b/>
          <w:sz w:val="24"/>
          <w:szCs w:val="24"/>
        </w:rPr>
        <w:t>DISCUSSION</w:t>
      </w:r>
    </w:p>
    <w:p w14:paraId="29C6F3EB" w14:textId="77777777" w:rsidR="00103AF5" w:rsidRDefault="00103AF5" w:rsidP="00103AF5">
      <w:pPr>
        <w:snapToGrid w:val="0"/>
        <w:spacing w:after="0" w:line="480" w:lineRule="auto"/>
        <w:rPr>
          <w:rFonts w:ascii="Times New Roman" w:hAnsi="Times New Roman" w:cs="Times New Roman"/>
          <w:bCs/>
          <w:sz w:val="24"/>
          <w:szCs w:val="24"/>
        </w:rPr>
      </w:pPr>
      <w:r>
        <w:rPr>
          <w:rFonts w:ascii="Times New Roman" w:hAnsi="Times New Roman" w:cs="Times New Roman"/>
          <w:bCs/>
          <w:sz w:val="24"/>
          <w:szCs w:val="24"/>
        </w:rPr>
        <w:lastRenderedPageBreak/>
        <w:t>Using a 6-year time series from a network of 44 sites, we were able to detect subtle year-to-year changes in spring gross primary production (GPP) and investigate the factors contributing to these changes. Our study revealed a significant GPP anomaly at 34 out of 44 study sites in Europe, with 12 sites showing a negative anomaly and the remaining 22 sites displaying a positive anomaly. Results showed that the GPP anomaly coincided with changes in soil and atmospheric dryness, solar irradiance, air pollutants and vegetation management. Although the modelling approach was limited to capturing the factors that affected the spring GPP only during the reference period of 2015 to 2019, this analysis enabled us to identify which group of variables - meteorology or pollutants - contributed to the GPP anomaly.</w:t>
      </w:r>
    </w:p>
    <w:p w14:paraId="50884374" w14:textId="77777777" w:rsidR="00103AF5" w:rsidRDefault="00103AF5" w:rsidP="00103AF5">
      <w:pPr>
        <w:snapToGrid w:val="0"/>
        <w:spacing w:after="0" w:line="480" w:lineRule="auto"/>
        <w:rPr>
          <w:rFonts w:ascii="Times New Roman" w:hAnsi="Times New Roman" w:cs="Times New Roman"/>
          <w:bCs/>
          <w:sz w:val="24"/>
          <w:szCs w:val="24"/>
        </w:rPr>
      </w:pPr>
    </w:p>
    <w:p w14:paraId="1690A51D" w14:textId="77777777" w:rsidR="00103AF5" w:rsidRPr="00942504" w:rsidRDefault="00103AF5" w:rsidP="00103AF5">
      <w:pPr>
        <w:snapToGrid w:val="0"/>
        <w:spacing w:after="0" w:line="480" w:lineRule="auto"/>
        <w:rPr>
          <w:rFonts w:ascii="Times New Roman" w:hAnsi="Times New Roman" w:cs="Times New Roman"/>
          <w:b/>
          <w:sz w:val="24"/>
          <w:szCs w:val="24"/>
        </w:rPr>
      </w:pPr>
      <w:r w:rsidRPr="00942504">
        <w:rPr>
          <w:rFonts w:ascii="Times New Roman" w:hAnsi="Times New Roman" w:cs="Times New Roman"/>
          <w:b/>
          <w:sz w:val="24"/>
          <w:szCs w:val="24"/>
        </w:rPr>
        <w:t>4.1 Drought-related reduction in GPP</w:t>
      </w:r>
    </w:p>
    <w:p w14:paraId="461B198F" w14:textId="77777777" w:rsidR="00103AF5" w:rsidRDefault="00103AF5" w:rsidP="00103AF5">
      <w:pPr>
        <w:snapToGrid w:val="0"/>
        <w:spacing w:after="0" w:line="480" w:lineRule="auto"/>
        <w:rPr>
          <w:rFonts w:ascii="Times New Roman" w:eastAsia="Times New Roman" w:hAnsi="Times New Roman" w:cs="Times New Roman"/>
          <w:sz w:val="24"/>
          <w:szCs w:val="24"/>
        </w:rPr>
      </w:pPr>
      <w:r>
        <w:rPr>
          <w:rFonts w:ascii="Times New Roman" w:hAnsi="Times New Roman" w:cs="Times New Roman"/>
          <w:bCs/>
          <w:sz w:val="24"/>
          <w:szCs w:val="24"/>
        </w:rPr>
        <w:t xml:space="preserve">Nearly all sites which experienced a GPP decrease in spring 2020 were affected by soil dryness (lower-than-usual SWC) or atmospheric drought (higher-than-usual VPD), as indicated by a </w:t>
      </w:r>
      <w:r w:rsidRPr="003B4A2F">
        <w:rPr>
          <w:rFonts w:ascii="Times New Roman" w:hAnsi="Times New Roman" w:cs="Times New Roman"/>
          <w:bCs/>
          <w:sz w:val="24"/>
          <w:szCs w:val="24"/>
        </w:rPr>
        <w:t>significant positive anomaly in</w:t>
      </w:r>
      <w:r>
        <w:rPr>
          <w:rFonts w:ascii="Times New Roman" w:hAnsi="Times New Roman" w:cs="Times New Roman"/>
          <w:bCs/>
          <w:sz w:val="24"/>
          <w:szCs w:val="24"/>
        </w:rPr>
        <w:t xml:space="preserve"> Bowen ratio. A strong reduction in evapotranspiration supports the hypothesis of stomatal closure in these ecosystems, mostly forests. However, </w:t>
      </w:r>
      <w:r>
        <w:rPr>
          <w:rFonts w:ascii="Times New Roman" w:hAnsi="Times New Roman" w:cs="Times New Roman"/>
          <w:sz w:val="24"/>
          <w:szCs w:val="24"/>
        </w:rPr>
        <w:t>the</w:t>
      </w:r>
      <w:r w:rsidRPr="004F3E51">
        <w:rPr>
          <w:rFonts w:ascii="Times New Roman" w:hAnsi="Times New Roman" w:cs="Times New Roman"/>
          <w:sz w:val="24"/>
          <w:szCs w:val="24"/>
        </w:rPr>
        <w:t xml:space="preserve"> </w:t>
      </w:r>
      <w:r>
        <w:rPr>
          <w:rFonts w:ascii="Times New Roman" w:hAnsi="Times New Roman" w:cs="Times New Roman"/>
          <w:sz w:val="24"/>
          <w:szCs w:val="24"/>
        </w:rPr>
        <w:t>considerable</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decrease </w:t>
      </w:r>
      <w:r w:rsidRPr="004F3E51">
        <w:rPr>
          <w:rFonts w:ascii="Times New Roman" w:hAnsi="Times New Roman" w:cs="Times New Roman"/>
          <w:sz w:val="24"/>
          <w:szCs w:val="24"/>
        </w:rPr>
        <w:t xml:space="preserve">in the initial quantum yield (α) </w:t>
      </w:r>
      <w:r>
        <w:rPr>
          <w:rFonts w:ascii="Times New Roman" w:hAnsi="Times New Roman" w:cs="Times New Roman"/>
          <w:sz w:val="24"/>
          <w:szCs w:val="24"/>
        </w:rPr>
        <w:t xml:space="preserve">suggests </w:t>
      </w:r>
      <w:r w:rsidRPr="004F3E51">
        <w:rPr>
          <w:rFonts w:ascii="Times New Roman" w:hAnsi="Times New Roman" w:cs="Times New Roman"/>
          <w:sz w:val="24"/>
          <w:szCs w:val="24"/>
        </w:rPr>
        <w:t xml:space="preserve">that biochemical (non-stomatal) processes also </w:t>
      </w:r>
      <w:r>
        <w:rPr>
          <w:rFonts w:ascii="Times New Roman" w:hAnsi="Times New Roman" w:cs="Times New Roman"/>
          <w:sz w:val="24"/>
          <w:szCs w:val="24"/>
        </w:rPr>
        <w:t xml:space="preserve">played a role in </w:t>
      </w:r>
      <w:r w:rsidRPr="004F3E51">
        <w:rPr>
          <w:rFonts w:ascii="Times New Roman" w:hAnsi="Times New Roman" w:cs="Times New Roman"/>
          <w:sz w:val="24"/>
          <w:szCs w:val="24"/>
        </w:rPr>
        <w:t>inhibit</w:t>
      </w:r>
      <w:r>
        <w:rPr>
          <w:rFonts w:ascii="Times New Roman" w:hAnsi="Times New Roman" w:cs="Times New Roman"/>
          <w:sz w:val="24"/>
          <w:szCs w:val="24"/>
        </w:rPr>
        <w:t>ing</w:t>
      </w:r>
      <w:r w:rsidRPr="004F3E51">
        <w:rPr>
          <w:rFonts w:ascii="Times New Roman" w:hAnsi="Times New Roman" w:cs="Times New Roman"/>
          <w:sz w:val="24"/>
          <w:szCs w:val="24"/>
        </w:rPr>
        <w:t xml:space="preserve"> photosynthesis in response to drought stress</w:t>
      </w:r>
      <w:r>
        <w:rPr>
          <w:rFonts w:ascii="Times New Roman" w:hAnsi="Times New Roman" w:cs="Times New Roman"/>
          <w:sz w:val="24"/>
          <w:szCs w:val="24"/>
        </w:rPr>
        <w:t>, in line with previous studies</w:t>
      </w:r>
      <w:r w:rsidRPr="004F3E51">
        <w:rPr>
          <w:rFonts w:ascii="Times New Roman" w:hAnsi="Times New Roman" w:cs="Times New Roman"/>
          <w:sz w:val="24"/>
          <w:szCs w:val="24"/>
        </w:rPr>
        <w:t xml:space="preserve">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allocation of biomass to different plant organs depends on species, ontogeny and on the environment experienced by the plant. In this paper we first discuss some methodological tools to describe and analyse the allocation of biomass. Rather than the use of shoot:root ratios, we plead strongly for a subdivision of biomass into at least three compartments: leaves, stems and roots. Attention is drawn to some of the disadvantages of allometry as a tool to correct for size differences between plants. Second, we tested the extent to which biomass allocation of plants follows the model of a functional equilibrium. According to this model, plants respond to a decrease in above-ground resources with increased allocation to shoots (leaves), whereas they respond to a decrease in below- ground resources with increased allocation to roots. We carried out a meta-analysis of the literature, analysing the effect of various environmental variables on the fraction of total plant biomass allocated to leaves (leaf mass fraction), stem (stem mass fraction) and roots (root mass fraction). The responses to light, nutrients and water agreed with the (qualitative) prediction of the functional equilibrium theory. The notable exception was atmospheric CO2, which did not affect allocation when the concentration was doubled. Third, we analysed the quantitative importance of the changes in allocation compared to changes in other growth parameters, such as unit leaf rate (the net difference between carbon gain and carbon losses per unit time and leaf area), and specific leaf area (leaf area: leaf biomass). The effects of light, CO2 and water on leaf mass fractions were small compared to their effects on relative growth rate. The effects of nutrients, however, were large, suggesting that only in the case of nutrients, biomass allocation is a major factor in the response of plants to limiting resource supply","author":[{"dropping-particle":"","family":"Escalona","given":"J.M.","non-dropping-particle":"","parse-names":false,"suffix":""},{"dropping-particle":"","family":"Flexas","given":"J.","non-dropping-particle":"","parse-names":false,"suffix":""},{"dropping-particle":"","family":"Medrano","given":"H.","non-dropping-particle":"","parse-names":false,"suffix":""}],"container-title":"Australian Journal of Plant Physiology","id":"ITEM-1","issued":{"date-parts":[["1999"]]},"page":"421-433","title":"Stomatal and non-stomatal limitations of photosynthesis under water stress in field-grown grapevines","type":"article-journal","volume":"26"},"uris":["http://www.mendeley.com/documents/?uuid=c892b806-a00c-46c3-96e1-0ed34e3df463","http://www.mendeley.com/documents/?uuid=8e2e9939-d517-4aa6-8072-b4d597ac94dd"]},{"id":"ITEM-2","itemData":{"DOI":"10.1098/rstb.2019.0527","ISSN":"14712970","PMID":"32892725","abstract":"Severe drought events are known to cause important reductions of gross primary productivity (GPP) in forest ecosystems. However, it is still unclear whether this reduction originates from stomatal closure (Stomatal Origin Limitation) and/or non-stomatal limitations (Non-SOL). In this study, we investigated the impact of edaphic drought in 2018 on GPP and its origin (SOL, NSOL) using a dataset of 10 European forest ecosystem flux towers. In all stations where GPP reductions were observed during the drought, these were largely explained by declines in the maximum apparent canopy scale carboxylation rate V CMAX,APP (NSOL) when the soil relative extractable water content dropped below around 0.4. Concurrently, we found that the stomatal slope parameter (G 1, related to SOL) of the Medlyn et al. unified optimization model linking vegetation conductance and GPP remained relatively constant. These results strengthen the increasing evidence that NSOL should be included in stomatal conductance/photosynthesis models to faithfully simulate both GPP and water fluxes in forest ecosystems during severe drought. This article is part of the theme issue 'Impacts of the 2018 severe drought and heatwave in Europe: from site to continental scale'.","author":[{"dropping-particle":"","family":"Gourlez de la Motte","given":"Louis","non-dropping-particle":"","parse-names":false,"suffix":""},{"dropping-particle":"","family":"Beauclaire","given":"Quentin","non-dropping-particle":"","parse-names":false,"suffix":""},{"dropping-particle":"","family":"Heinesch","given":"Bernard","non-dropping-particle":"","parse-names":false,"suffix":""},{"dropping-particle":"","family":"Cuntz","given":"Mathias","non-dropping-particle":"","parse-names":false,"suffix":""},{"dropping-particle":"","family":"Foltýnová","given":"Lenka","non-dropping-particle":"","parse-names":false,"suffix":""},{"dropping-particle":"","family":"Šigut","given":"Ladislav","non-dropping-particle":"","parse-names":false,"suffix":""},{"dropping-particle":"","family":"Kowalska","given":"Natalia","non-dropping-particle":"","parse-names":false,"suffix":""},{"dropping-particle":"","family":"Manca","given":"Giovanni","non-dropping-particle":"","parse-names":false,"suffix":""},{"dropping-particle":"","family":"Ballarin","given":"Ignacio Goded","non-dropping-particle":"","parse-names":false,"suffix":""},{"dropping-particle":"","family":"Vincke","given":"Caroline","non-dropping-particle":"","parse-names":false,"suffix":""},{"dropping-particle":"","family":"Roland","given":"Marilyn","non-dropping-particle":"","parse-names":false,"suffix":""},{"dropping-particle":"","family":"Ibrom","given":"Andreas","non-dropping-particle":"","parse-names":false,"suffix":""},{"dropping-particle":"","family":"Lousteau","given":"Denis","non-dropping-particle":"","parse-names":false,"suffix":""},{"dropping-particle":"","family":"Siebicke","given":"Lukas","non-dropping-particle":"","parse-names":false,"suffix":""},{"dropping-particle":"","family":"Neiryink","given":"Johan","non-dropping-particle":"","parse-names":false,"suffix":""},{"dropping-particle":"","family":"Longdoz","given":"Bernard","non-dropping-particle":"","parse-names":false,"suffix":""}],"container-title":"Philosophical Transactions of the Royal Society B: Biological Sciences","id":"ITEM-2","issue":"1810","issued":{"date-parts":[["2020"]]},"title":"Non-stomatal processes reduce gross primary productivity in temperate forest ecosystems during severe edaphic drought: Edaphic drought in forest ecosystems","type":"article-journal","volume":"375"},"uris":["http://www.mendeley.com/documents/?uuid=2fae3b87-259a-4d4e-822e-9e53a0bf9a17"]}],"mendeley":{"formattedCitation":"(Escalona, Flexas, &amp; Medrano, 1999; Gourlez de la Motte et al., 2020)","plainTextFormattedCitation":"(Escalona, Flexas, &amp; Medrano, 1999; Gourlez de la Motte et al., 2020)","previouslyFormattedCitation":"(Escalona, Flexas, &amp; Medrano, 1999; Gourlez de la Motte et al., 2020)"},"properties":{"noteIndex":0},"schema":"https://github.com/citation-style-language/schema/raw/master/csl-citation.json"}</w:instrText>
      </w:r>
      <w:r w:rsidRPr="004F3E51">
        <w:rPr>
          <w:rFonts w:ascii="Times New Roman" w:hAnsi="Times New Roman" w:cs="Times New Roman"/>
          <w:sz w:val="24"/>
          <w:szCs w:val="24"/>
        </w:rPr>
        <w:fldChar w:fldCharType="separate"/>
      </w:r>
      <w:r w:rsidRPr="00263278">
        <w:rPr>
          <w:rFonts w:ascii="Times New Roman" w:hAnsi="Times New Roman" w:cs="Times New Roman"/>
          <w:noProof/>
          <w:sz w:val="24"/>
          <w:szCs w:val="24"/>
        </w:rPr>
        <w:t>(Escalona, Flexas, &amp; Medrano, 1999; Gourlez de la Motte et al., 2020)</w:t>
      </w:r>
      <w:r w:rsidRPr="004F3E51">
        <w:rPr>
          <w:rFonts w:ascii="Times New Roman" w:hAnsi="Times New Roman" w:cs="Times New Roman"/>
          <w:sz w:val="24"/>
          <w:szCs w:val="24"/>
        </w:rPr>
        <w:fldChar w:fldCharType="end"/>
      </w:r>
      <w:r>
        <w:rPr>
          <w:rFonts w:ascii="Times New Roman" w:hAnsi="Times New Roman" w:cs="Times New Roman"/>
          <w:sz w:val="24"/>
          <w:szCs w:val="24"/>
        </w:rPr>
        <w:t>. D</w:t>
      </w:r>
      <w:r w:rsidRPr="00546C99">
        <w:rPr>
          <w:rFonts w:ascii="Times New Roman" w:hAnsi="Times New Roman" w:cs="Times New Roman"/>
          <w:sz w:val="24"/>
          <w:szCs w:val="24"/>
        </w:rPr>
        <w:t xml:space="preserve">rought events are known to cause reductions </w:t>
      </w:r>
      <w:r>
        <w:rPr>
          <w:rFonts w:ascii="Times New Roman" w:hAnsi="Times New Roman" w:cs="Times New Roman"/>
          <w:sz w:val="24"/>
          <w:szCs w:val="24"/>
        </w:rPr>
        <w:t xml:space="preserve">in terrestrial ecosystem production </w:t>
      </w:r>
      <w:r w:rsidRPr="00812B6A">
        <w:rPr>
          <w:rFonts w:ascii="Times New Roman" w:hAnsi="Times New Roman" w:cs="Times New Roman"/>
          <w:sz w:val="24"/>
          <w:szCs w:val="24"/>
        </w:rPr>
        <w:fldChar w:fldCharType="begin" w:fldLock="1"/>
      </w:r>
      <w:r w:rsidRPr="00812B6A">
        <w:rPr>
          <w:rFonts w:ascii="Times New Roman" w:hAnsi="Times New Roman" w:cs="Times New Roman"/>
          <w:sz w:val="24"/>
          <w:szCs w:val="24"/>
        </w:rPr>
        <w:instrText>ADDIN CSL_CITATION {"citationItems":[{"id":"ITEM-1","itemData":{"DOI":"10.1038/282424a0","ISSN":"00280836","abstract":"Previous studies on the Physiology of stomata in higher plants suggest that stomata influence the rate of CO2 fixation in leaf mesophyll tissue. We believe that an equally important stomatal function has not been fully recognised; that stomatal aperture is determined by the capacity of the mesophyll tissue to fix carbon. We altered the capacity of leaves to fix carbon by various means, and found invariably that the diffusive conductance of the epidermis to CO2 transfer, g, (which mainly depends on the number and dimensions of the stomata) changes in nearly the same proportion as the rate of assimilation of CO2. Thus, the intercellular concentration of CO2 (ci), calculated as ci = ca-A/g (where ca is ambient concentration of CO2, A is assimilation rate of CO2), tends to remain constant providing ca is kept constant. We used routine techniques1 to measure A and estimate g in leaves placed singly in chambers. Conductance takes account of CO 2 transfer through both stomata and leaf boundary layer, the conductance of the latter being 0.5 mol m-2 s-1. © 1979 Nature Publishing Group.","author":[{"dropping-particle":"","family":"Wong","given":"S. C.","non-dropping-particle":"","parse-names":false,"suffix":""},{"dropping-particle":"","family":"Cowan","given":"I. R.","non-dropping-particle":"","parse-names":false,"suffix":""},{"dropping-particle":"","family":"Farquhar","given":"G. D.","non-dropping-particle":"","parse-names":false,"suffix":""}],"container-title":"Nature","id":"ITEM-1","issue":"5737","issued":{"date-parts":[["1979"]]},"page":"424-426","title":"Stomatal conductance correlates with photosynthetic capacity","type":"article-journal","volume":"282"},"uris":["http://www.mendeley.com/documents/?uuid=5e613c09-5491-4026-afb8-523a2a846ac1"]},{"id":"ITEM-2","itemData":{"DOI":"10.1093/aob/mcf027","ISSN":"03057364","PMID":"12099349","abstract":"There is a long-standing controversy as to whether drought limits photosynthetic CO2 assimilation through stomatal closure or by metabolic impairment in C3 plants. Comparing results from different studies is difficult due to interspecific differences in the response of photosynthesis to leaf water potential and/or relative water content (RWC), the most commonly used parameters to assess the severity of drought. Therefore, we have used stomatal conductance (g) as a basis for comparison of metabolic processes in different studies. The logic is that, as there is a strong link between g and photosynthesis (perhaps co-regulation between them), so different relationships between RWC or water potential and photosynthetic rate and changes in metabolism in different species and studies may be 'normalized' by relating them to g. Re-analysing data from the literature using light-saturated g as a parameter indicative of water deficits in plants shows that there is good correspondence between the onset of drought-induced inhibition of different photosynthetic sub-processes and g. Contents of ribulose bisphosphate (RuBP) and adenosine triphosphate (ATP) decrease early in drought development, at still relatively high g (higher than 150 mmol H2O m-2 s-1). This suggests that RuBP regeneration and ATP synthesis are impaired. Decreased photochemistry and Rubisco activity typically occur at lower g (&lt;100 mmol H2O m-2 s-1), whereas permanent photoinhibition is only occasional, occurring at very low g (&lt;50 mmol H2O m-2 s-1). Sub-stomatal CO2 concentration decreases as g becomes smaller, but increases again at small g. The analysis suggests that stomatal closure is the earliest response to drought and the dominant limitation to photosynthesis at mild to moderate drought. However, in parallel, progressive down-regulation or inhibition of metabolic processes leads to decreased RuBP content, which becomes the dominant limitation at severe drought, and thereby inhibits photosynthetic CO2 assimilation. © 2002 Annals of Botany Company.","author":[{"dropping-particle":"","family":"Flexas","given":"J.","non-dropping-particle":"","parse-names":false,"suffix":""},{"dropping-particle":"","family":"Medrano","given":"H.","non-dropping-particle":"","parse-names":false,"suffix":""}],"container-title":"Annals of Botany","id":"ITEM-2","issue":"2","issued":{"date-parts":[["2002"]]},"page":"183-189","title":"Drought-inhibition of photosynthesis in C3 plants: Stomatal and non-stomatal limitations revisited","type":"article-journal","volume":"89"},"uris":["http://www.mendeley.com/documents/?uuid=86d4250b-fd23-4576-8311-c296815c4791"]},{"id":"ITEM-3","itemData":{"DOI":"10.1038/nature03972","ISSN":"14764687","PMID":"16177786","abstract":"Future climate warming is expected to enhance plant growth in temperate ecosystems and to increase carbon sequestration. But although severe regional heatwaves may become more frequent in a changing climate, their impact on terrestrial carbon cycling is unclear. Here we report measurements of ecosystem carbon dioxide fluxes, remotely sensed radiation absorbed by plants, and country-level crop yields taken during the European heatwave in 2003. We use a terrestrial biosphere simulation model to assess continental-scale changes in primary productivity during 2003, and their consequences for the net carbon balance. We estimate a 30 per cent reduction in gross primary productivity over Europe, which resulted in a strong anomalous net source of carbon dioxide (0.5 Pg C yr-1) to the atmosphere and reversed the effect of four years of net ecosystem carbon sequestration. Our results suggest that productivity reduction in eastern and western Europe can be explained by rainfall deficit and extreme summer heat, respectively. We also find that ecosystem respiration decreased together with gross primary productivity, rather than accelerating with the temperature rise. Model results, corroborated by historical records of crop yields, suggest that such a reduction in Europe's primary productivity is unprecedented during the last century. An increase in future drought events could turn temperate ecosystems into carbon sources, contributing to positive carbon-climate feedbacks already anticipated in the tropics and at high latitudes. © 2005 Nature Publishing Group.","author":[{"dropping-particle":"","family":"Ciais","given":"Ph","non-dropping-particle":"","parse-names":false,"suffix":""},{"dropping-particle":"","family":"Reichstein","given":"M.","non-dropping-particle":"","parse-names":false,"suffix":""},{"dropping-particle":"","family":"Viovy","given":"N.","non-dropping-particle":"","parse-names":false,"suffix":""},{"dropping-particle":"","family":"Granier","given":"A.","non-dropping-particle":"","parse-names":false,"suffix":""},{"dropping-particle":"","family":"Ogée","given":"J.","non-dropping-particle":"","parse-names":false,"suffix":""},{"dropping-particle":"","family":"Allard","given":"V.","non-dropping-particle":"","parse-names":false,"suffix":""},{"dropping-particle":"","family":"Aubinet","given":"M.","non-dropping-particle":"","parse-names":false,"suffix":""},{"dropping-particle":"","family":"Buchmann","given":"N.","non-dropping-particle":"","parse-names":false,"suffix":""},{"dropping-particle":"","family":"Bernhofer","given":"Chr","non-dropping-particle":"","parse-names":false,"suffix":""},{"dropping-particle":"","family":"Carrara","given":"A.","non-dropping-particle":"","parse-names":false,"suffix":""},{"dropping-particle":"","family":"Chevallier","given":"F.","non-dropping-particle":"","parse-names":false,"suffix":""},{"dropping-particle":"","family":"Noblet","given":"N.","non-dropping-particle":"De","parse-names":false,"suffix":""},{"dropping-particle":"","family":"Friend","given":"A. D.","non-dropping-particle":"","parse-names":false,"suffix":""},{"dropping-particle":"","family":"Friedlingstein","given":"P.","non-dropping-particle":"","parse-names":false,"suffix":""},{"dropping-particle":"","family":"Grünwald","given":"T.","non-dropping-particle":"","parse-names":false,"suffix":""},{"dropping-particle":"","family":"Heinesch","given":"B.","non-dropping-particle":"","parse-names":false,"suffix":""},{"dropping-particle":"","family":"Keronen","given":"P.","non-dropping-particle":"","parse-names":false,"suffix":""},{"dropping-particle":"","family":"Knohl","given":"A.","non-dropping-particle":"","parse-names":false,"suffix":""},{"dropping-particle":"","family":"Krinner","given":"G.","non-dropping-particle":"","parse-names":false,"suffix":""},{"dropping-particle":"","family":"Loustau","given":"D.","non-dropping-particle":"","parse-names":false,"suffix":""},{"dropping-particle":"","family":"Manca","given":"G.","non-dropping-particle":"","parse-names":false,"suffix":""},{"dropping-particle":"","family":"Matteucci","given":"G.","non-dropping-particle":"","parse-names":false,"suffix":""},{"dropping-particle":"","family":"Miglietta","given":"F.","non-dropping-particle":"","parse-names":false,"suffix":""},{"dropping-particle":"","family":"Ourcival","given":"J. M.","non-dropping-particle":"","parse-names":false,"suffix":""},{"dropping-particle":"","family":"Papale","given":"D.","non-dropping-particle":"","parse-names":false,"suffix":""},{"dropping-particle":"","family":"Pilegaard","given":"K.","non-dropping-particle":"","parse-names":false,"suffix":""},{"dropping-particle":"","family":"Rambal","given":"S.","non-dropping-particle":"","parse-names":false,"suffix":""},{"dropping-particle":"","family":"Seufert","given":"G.","non-dropping-particle":"","parse-names":false,"suffix":""},{"dropping-particle":"","family":"Soussana","given":"J. F.","non-dropping-particle":"","parse-names":false,"suffix":""},{"dropping-particle":"","family":"Sanz","given":"M. J.","non-dropping-particle":"","parse-names":false,"suffix":""},{"dropping-particle":"","family":"Schulze","given":"E. D.","non-dropping-particle":"","parse-names":false,"suffix":""},{"dropping-particle":"","family":"Vesala","given":"T.","non-dropping-particle":"","parse-names":false,"suffix":""},{"dropping-particle":"","family":"Valentini","given":"R.","non-dropping-particle":"","parse-names":false,"suffix":""}],"container-title":"Nature","id":"ITEM-3","issue":"7058","issued":{"date-parts":[["2005"]]},"page":"529-533","title":"Europe-wide reduction in primary productivity caused by the heat and drought in 2003","type":"article-journal","volume":"437"},"uris":["http://www.mendeley.com/documents/?uuid=f44579d4-827d-41e8-9175-a0c0c1e3cd16"]},{"id":"ITEM-4","itemData":{"DOI":"10.1126/science.334.6062.1496","ISSN":"10959203","author":[{"dropping-particle":"","family":"Zhao","given":"M.","non-dropping-particle":"","parse-names":false,"suffix":""},{"dropping-particle":"","family":"Running","given":"S. W.","non-dropping-particle":"","parse-names":false,"suffix":""}],"container-title":"Science","id":"ITEM-4","issue":"5994","issued":{"date-parts":[["2010"]]},"page":"940-943","title":"Drought-induced reduction in global terrestrial net primary production from 2000 through 2009","type":"article-journal","volume":"329"},"uris":["http://www.mendeley.com/documents/?uuid=a34c52d4-32d6-4cb9-9c4d-1edb6903b2a3"]}],"mendeley":{"formattedCitation":"(Ciais et al., 2005; Flexas &amp; Medrano, 2002; Wong, Cowan, &amp; Farquhar, 1979; Zhao &amp; Running, 2010)","manualFormatting":"(Ciais et al., 2005; Zhao &amp; Running, 2010)","plainTextFormattedCitation":"(Ciais et al., 2005; Flexas &amp; Medrano, 2002; Wong, Cowan, &amp; Farquhar, 1979; Zhao &amp; Running, 2010)","previouslyFormattedCitation":"(Ciais et al., 2005; Flexas &amp; Medrano, 2002; Wong, Cowan, &amp; Farquhar, 1979; Zhao &amp; Running, 2010)"},"properties":{"noteIndex":0},"schema":"https://github.com/citation-style-language/schema/raw/master/csl-citation.json"}</w:instrText>
      </w:r>
      <w:r w:rsidRPr="00812B6A">
        <w:rPr>
          <w:rFonts w:ascii="Times New Roman" w:hAnsi="Times New Roman" w:cs="Times New Roman"/>
          <w:sz w:val="24"/>
          <w:szCs w:val="24"/>
        </w:rPr>
        <w:fldChar w:fldCharType="separate"/>
      </w:r>
      <w:r w:rsidRPr="00812B6A">
        <w:rPr>
          <w:rFonts w:ascii="Times New Roman" w:hAnsi="Times New Roman" w:cs="Times New Roman"/>
          <w:noProof/>
          <w:sz w:val="24"/>
          <w:szCs w:val="24"/>
        </w:rPr>
        <w:t>(Ciais et al., 2005; Zhao &amp; Running, 2010)</w:t>
      </w:r>
      <w:r w:rsidRPr="00812B6A">
        <w:rPr>
          <w:rFonts w:ascii="Times New Roman" w:hAnsi="Times New Roman" w:cs="Times New Roman"/>
          <w:sz w:val="24"/>
          <w:szCs w:val="24"/>
        </w:rPr>
        <w:fldChar w:fldCharType="end"/>
      </w:r>
      <w:r>
        <w:rPr>
          <w:rFonts w:ascii="Times New Roman" w:hAnsi="Times New Roman" w:cs="Times New Roman"/>
          <w:sz w:val="24"/>
          <w:szCs w:val="24"/>
        </w:rPr>
        <w:t xml:space="preserve"> through stomatal closure and/or metabolic limitation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{"citationItems":[{"id":"ITEM-1","itemData":{"DOI":"10.1093/aob/mcf027","ISSN":"03057364","PMID":"12099349","abstract":"There is a long-standing controversy as to whether drought limits photosynthetic CO2 assimilation through stomatal closure or by metabolic impairment in C3 plants. Comparing results from different studies is difficult due to interspecific differences in the response of photosynthesis to leaf water potential and/or relative water content (RWC), the most commonly used parameters to assess the severity of drought. Therefore, we have used stomatal conductance (g) as a basis for comparison of metabolic processes in different studies. The logic is that, as there is a strong link between g and photosynthesis (perhaps co-regulation between them), so different relationships between RWC or water potential and photosynthetic rate and changes in metabolism in different species and studies may be 'normalized' by relating them to g. Re-analysing data from the literature using light-saturated g as a parameter indicative of water deficits in plants shows that there is good correspondence between the onset of drought-induced inhibition of different photosynthetic sub-processes and g. Contents of ribulose bisphosphate (RuBP) and adenosine triphosphate (ATP) decrease early in drought development, at still relatively high g (higher than 150 mmol H2O m-2 s-1). This suggests that RuBP regeneration and ATP synthesis are impaired. Decreased photochemistry and Rubisco activity typically occur at lower g (&lt;100 mmol H2O m-2 s-1), whereas permanent photoinhibition is only occasional, occurring at very low g (&lt;50 mmol H2O m-2 s-1). Sub-stomatal CO2 concentration decreases as g becomes smaller, but increases again at small g. The analysis suggests that stomatal closure is the earliest response to drought and the dominant limitation to photosynthesis at mild to moderate drought. However, in parallel, progressive down-regulation or inhibition of metabolic processes leads to decreased RuBP content, which becomes the dominant limitation at severe drought, and thereby inhibits photosynthetic CO2 assimilation. © 2002 Annals of Botany Company.","author":[{"dropping-particle":"","family":"Flexas","given":"J.","non-dropping-particle":"","parse-names":false,"suffix":""},{"dropping-particle":"","family":"Medrano","given":"H.","non-dropping-particle":"","parse-names":false,"suffix":""}],"container-title":"Annals of Botany","id":"ITEM-1","issue":"2","issued":{"date-parts":[["2002"]]},"page":"183-189","title":"Drought-inhibition of photosynthesis in C3 plants: Stomatal and non-stomatal limitations revisited","type":"article-journal","volume":"89"},"uris":["http://www.mendeley.com/documents/?uuid=86d4250b-fd23-4576-8311-c296815c4791"]}],"mendeley":{"formattedCitation":"(Flexas &amp; Medrano, 2002)","plainTextFormattedCitation":"(Flexas &amp; Medrano, 2002)","previouslyFormattedCitation":"(Flexas &amp; Medrano, 2002)"},"properties":{"noteIndex":0},"schema":"https://github.com/citation-style-language/schema/raw/master/csl-citation.json"}</w:instrText>
      </w:r>
      <w:r>
        <w:rPr>
          <w:rFonts w:ascii="Times New Roman" w:hAnsi="Times New Roman" w:cs="Times New Roman"/>
          <w:sz w:val="24"/>
          <w:szCs w:val="24"/>
        </w:rPr>
        <w:fldChar w:fldCharType="separate"/>
      </w:r>
      <w:r w:rsidRPr="0020504D">
        <w:rPr>
          <w:rFonts w:ascii="Times New Roman" w:hAnsi="Times New Roman" w:cs="Times New Roman"/>
          <w:noProof/>
          <w:sz w:val="24"/>
          <w:szCs w:val="24"/>
        </w:rPr>
        <w:t>(Flexas &amp; Medrano, 2002)</w:t>
      </w:r>
      <w:r>
        <w:rPr>
          <w:rFonts w:ascii="Times New Roman" w:hAnsi="Times New Roman" w:cs="Times New Roman"/>
          <w:sz w:val="24"/>
          <w:szCs w:val="24"/>
        </w:rPr>
        <w:fldChar w:fldCharType="end"/>
      </w:r>
      <w:r>
        <w:rPr>
          <w:rFonts w:ascii="Times New Roman" w:hAnsi="Times New Roman" w:cs="Times New Roman"/>
          <w:sz w:val="24"/>
          <w:szCs w:val="24"/>
        </w:rPr>
        <w:t>, with effects on GPP that can be either immediate (e.g.</w:t>
      </w:r>
      <w:r w:rsidRPr="00C1631A">
        <w:rPr>
          <w:rFonts w:ascii="Times New Roman" w:hAnsi="Times New Roman" w:cs="Times New Roman"/>
          <w:sz w:val="24"/>
          <w:szCs w:val="24"/>
        </w:rPr>
        <w:t xml:space="preserve"> stomatal closure</w:t>
      </w:r>
      <w:r>
        <w:rPr>
          <w:rFonts w:ascii="Times New Roman" w:hAnsi="Times New Roman" w:cs="Times New Roman"/>
          <w:sz w:val="24"/>
          <w:szCs w:val="24"/>
        </w:rPr>
        <w:t>)</w:t>
      </w:r>
      <w:r w:rsidRPr="00C1631A">
        <w:rPr>
          <w:rFonts w:ascii="Times New Roman" w:hAnsi="Times New Roman" w:cs="Times New Roman"/>
          <w:sz w:val="24"/>
          <w:szCs w:val="24"/>
        </w:rPr>
        <w:t xml:space="preserve"> or delayed</w:t>
      </w:r>
      <w:r>
        <w:rPr>
          <w:rFonts w:ascii="Times New Roman" w:hAnsi="Times New Roman" w:cs="Times New Roman"/>
          <w:sz w:val="24"/>
          <w:szCs w:val="24"/>
        </w:rPr>
        <w:t xml:space="preserve"> (e.g. </w:t>
      </w:r>
      <w:r w:rsidRPr="00C1631A">
        <w:rPr>
          <w:rFonts w:ascii="Times New Roman" w:hAnsi="Times New Roman" w:cs="Times New Roman"/>
          <w:sz w:val="24"/>
          <w:szCs w:val="24"/>
        </w:rPr>
        <w:t>altered hydraulic conductance, metabolic capacity</w:t>
      </w:r>
      <w:r>
        <w:rPr>
          <w:rFonts w:ascii="Times New Roman" w:hAnsi="Times New Roman" w:cs="Times New Roman"/>
          <w:sz w:val="24"/>
          <w:szCs w:val="24"/>
        </w:rPr>
        <w:t xml:space="preserve"> and</w:t>
      </w:r>
      <w:r w:rsidRPr="00C1631A">
        <w:rPr>
          <w:rFonts w:ascii="Times New Roman" w:hAnsi="Times New Roman" w:cs="Times New Roman"/>
          <w:sz w:val="24"/>
          <w:szCs w:val="24"/>
        </w:rPr>
        <w:t xml:space="preserve"> leaf</w:t>
      </w:r>
      <w:r>
        <w:rPr>
          <w:rFonts w:ascii="Times New Roman" w:hAnsi="Times New Roman" w:cs="Times New Roman"/>
          <w:sz w:val="24"/>
          <w:szCs w:val="24"/>
        </w:rPr>
        <w:t xml:space="preserve"> </w:t>
      </w:r>
      <w:r w:rsidRPr="00C1631A">
        <w:rPr>
          <w:rFonts w:ascii="Times New Roman" w:hAnsi="Times New Roman" w:cs="Times New Roman"/>
          <w:sz w:val="24"/>
          <w:szCs w:val="24"/>
        </w:rPr>
        <w:t>longevity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{"citationItems":[{"id":"ITEM-1","itemData":{"DOI":"10.1038/s41467-022-28652-7","ISSN":"20411723","PMID":"35190562","abstract":"Both low soil water content (SWC) and high atmospheric dryness (vapor pressure deficit, VPD) can negatively affect terrestrial gross primary production (GPP). The sensitivity of GPP to soil versus atmospheric dryness is difficult to disentangle, however, because of their covariation. Using global eddy-covariance observations, here we show that a decrease in SWC is not universally associated with GPP reduction. GPP increases in response to decreasing SWC when SWC is high and decreases only when SWC is below a threshold. By contrast, the sensitivity of GPP to an increase of VPD is always negative across the full SWC range. We further find canopy conductance decreases with increasing VPD (irrespective of SWC), and with decreasing SWC on drier soils. Maximum photosynthetic assimilation rate has negative sensitivity to VPD, and a positive sensitivity to decreasing SWC when SWC is high. Earth System Models underestimate the negative effect of VPD and the positive effect of SWC on GPP such that they should underestimate the GPP reduction due to increasing VPD in future climates.","author":[{"dropping-particle":"","family":"Fu","given":"Zheng","non-dropping-particle":"","parse-names":false,"suffix":""},{"dropping-particle":"","family":"Ciais","given":"Philippe","non-dropping-particle":"","parse-names":false,"suffix":""},{"dropping-particle":"","family":"Prentice","given":"I. Colin","non-dropping-particle":"","parse-names":false,"suffix":""},{"dropping-particle":"","family":"Gentine","given":"Pierre","non-dropping-particle":"","parse-names":false,"suffix":""},{"dropping-particle":"","family":"Makowski","given":"David","non-dropping-particle":"","parse-names":false,"suffix":""},{"dropping-particle":"","family":"Bastos","given":"Ana","non-dropping-particle":"","parse-names":false,"suffix":""},{"dropping-particle":"","family":"Luo","given":"Xiangzhong","non-dropping-particle":"","parse-names":false,"suffix":""},{"dropping-particle":"","family":"Green","given":"Julia K.","non-dropping-particle":"","parse-names":false,"suffix":""},{"dropping-particle":"","family":"Stoy","given":"Paul C.","non-dropping-particle":"","parse-names":false,"suffix":""},{"dropping-particle":"","family":"Yang","given":"Hui","non-dropping-particle":"","parse-names":false,"suffix":""},{"dropping-particle":"","family":"Hajima","given":"Tomohiro","non-dropping-particle":"","parse-names":false,"suffix":""}],"container-title":"Nature Communications","id":"ITEM-1","issue":"1","issued":{"date-parts":[["2022"]]},"page":"1-10","publisher":"Springer US","title":"Atmospheric dryness reduces photosynthesis along a large range of soil water deficits","type":"article-journal","volume":"13"},"uris":["http://www.mendeley.com/documents/?uuid=4f661778-cb3b-40f3-a327-8f55630d5160"]},{"id":"ITEM-2","itemData":{"DOI":"10.5194/bg-4-791-2007","ISSN":"17264189","abstract":"Droughts reduce gross primary production (GPP) and ecosystem respiration (Reco), contributing to most of the inter-annual variability in terrestrial carbon sequestration. In seasonally dry climates (Mediterranean), droughts result from reductions in annual rainfall and changes in rain seasonality. We compared carbon fluxes measured by the eddy covariance technique in three contrasting ecosystems in southern Portugal: an evergreen oak woodland (savannah-like) with ca. 21% tree crown cover, a grassland dominated by herbaceous annuals and a coppiced short-rotation eucalyptus plantation. During the experimental period (2003-2006) the eucalyptus plantation was always the strongest sink for carbon: net ecosystem exchange rate (NEE) between -861 and -399 g C m-2 year-1. The oak woodland and the grassland were much weaker sinks for carbon: NEE varied in the oak woodland between -140 and -28 g C m -2 year-1 and in the grassland between -190 and +49gCm-2 year-1. The eucalyptus stand had higher GPP and a lower proportion of GPP spent in respiration than the other systems. The higher GPP resulted from high leaf area duration (LAD), as a surrogate for the photosynthetic photon flux density absorbed by the canopy. The eucalyptus had also higher rain use efficiency (GPP per unit of rain volume) and light use efficiency (the daily GPP per unit incident photosynthetic photon flux density) than the other two ecosystems. The effects of a severe drought could be evaluated during the hydrological-year (i.e., from October to September) of 2004-2005. Between October 2004 and June 2005 the precipitation was only 40% of the long-term average. In 2004-2005 all ecosystems had GPP lower than in wetter years and carbon sequestration was strongly restricted (less negative NEE). The grassland was a net source of carbon dioxide (+49 g C m-2 year -1). In theoak woodland a large proportion of GPP resulted from carbon assimilated by its annual vegetation component, which was strongly affected by the shortage of rain in winter. Overall, severe drought affected more GPP than Reco leading to the deterioration of NEE. Although the rain-use efficiency of the eucalyptus plantation increased in the dry year, this was not the case of evergreen oak woodland, which rainuse efficiency was not influenced by drought. Recovery after drought alleviation, i.e., beginning with heavy rain in October 2005, was fully accomplished in 2006 in the oak woodland and grassland, but slow in the eucalyptus plantation.","author":[{"dropping-particle":"","family":"Pereira","given":"J. S.","non-dropping-particle":"","parse-names":false,"suffix":""},{"dropping-particle":"","family":"Mateus","given":"J. A.","non-dropping-particle":"","parse-names":false,"suffix":""},{"dropping-particle":"","family":"Aires","given":"L. M.","non-dropping-particle":"","parse-names":false,"suffix":""},{"dropping-particle":"","family":"Pita","given":"G.","non-dropping-particle":"","parse-names":false,"suffix":""},{"dropping-particle":"","family":"Pio","given":"C.","non-dropping-particle":"","parse-names":false,"suffix":""},{"dropping-particle":"","family":"David","given":"J. S.","non-dropping-particle":"","parse-names":false,"suffix":""},{"dropping-particle":"","family":"Andrade","given":"V.","non-dropping-particle":"","parse-names":false,"suffix":""},{"dropping-particle":"","family":"Banza","given":"J.","non-dropping-particle":"","parse-names":false,"suffix":""},{"dropping-particle":"","family":"David","given":"T. S.","non-dropping-particle":"","parse-names":false,"suffix":""},{"dropping-particle":"","family":"Paço","given":"T. A.","non-dropping-particle":"","parse-names":false,"suffix":""},{"dropping-particle":"","family":"Rodrigues","given":"A.","non-dropping-particle":"","parse-names":false,"suffix":""}],"container-title":"Biogeosciences","id":"ITEM-2","issue":"5","issued":{"date-parts":[["2007"]]},"page":"791-802","title":"Net ecosystem carbon exchange in three contrasting Mediterranean ecosystems - The effect of drought","type":"article-journal","volume":"4"},"uris":["http://www.mendeley.com/documents/?uuid=5baa279d-a1b0-4399-b211-97bd818464c2"]},{"id":"ITEM-3","itemData":{"author":[{"dropping-particle":"","family":"Yu","given":"Xin","non-dropping-particle":"","parse-names":false,"suffix":""},{"dropping-particle":"","family":"Orth","given":"René","non-dropping-particle":"","parse-names":false,"suffix":""},{"dropping-particle":"","family":"Reichstein","given":"Markus","non-dropping-particle":"","parse-names":false,"suffix":""},{"dropping-particle":"","family":"Bahn","given":"Michael","non-dropping-particle":"","parse-names":false,"suffix":""},{"dropping-particle":"","family":"Klosterhalfen","given":"Anne","non-dropping-particle":"","parse-names":false,"suffix":""},{"dropping-particle":"","family":"Knohl","given":"Alexander","non-dropping-particle":"","parse-names":false,"suffix":""},{"dropping-particle":"","family":"Koebsch","given":"Franziska","non-dropping-particle":"","parse-names":false,"suffix":""}],"id":"ITEM-3","issued":{"date-parts":[["2022"]]},"page":"4315–4329","title":"Contrasting drought legacy effects on gross primary productivity in a mixed versus pure beech forest","type":"article-journal","volume":"19"},"uris":["http://www.mendeley.com/documents/?uuid=f2617050-6a0a-4168-b12f-ee5d7f5e3367"]},{"id":"ITEM-4","itemData":{"DOI":"10.1007/s10021-019-00379-5","ISSN":"14350629","abstract":"Extensive revegetation and conservation programs have been initiated in semiarid desert areas in northern China for over 10 years. However, our knowledge on how drought affects the desert ecosystem carbon (C) and water exchanges is limited. Based on eddy covariance measurements, we evaluated the effect of spring and summer droughts on ecosystem C and water exchanges over a semiarid Artemisia ordosica shrubland in Northwest China for 2014–2016. Over the 3 years, the ecosystem was a weak source of C (40 ± 32 g C m−2 y−1) (mean ± standard deviation) with evapotranspiration (ET) of 310 ± 65 mm y−1. Annual net ecosystem production was − 76, − 25 and − 18 g C m−2 y−1 and water use efficiency (WUE) [gross ecosystem production (GEP)/ET] was 0.92, 1.14 and 1.09 g C kg−1 H2O in 2014, 2015 and 2016, respectively, indicating greater C loss and suppressed WUE in 2014. We found that GEP, Re and ET were significantly suppressed in year 2014 when a severe spring drought occurred, as compared to the year 2016 with summer droughts. The differences in C and water fluxes between years 2014 and 2016 were greater than those between years 2015 and 2016, although the ecosystem suffered a severe summer drought in 2015. Interannual differences in GEP were likely due to differences in leaf area index and canopy conductance, both of which were decreased by drought. Our results indicated that spring drought appears to be more critical to the C balance than summer drought in this semiarid shrubland. This suggested that under future climate change with more variable precipitation and frequent droughts expected in northern China, the timing of drought may be critical to the C and water balances.","author":[{"dropping-particle":"","family":"Liu","given":"Peng","non-dropping-particle":"","parse-names":false,"suffix":""},{"dropping-particle":"","family":"Zha","given":"Tianshan","non-dropping-particle":"","parse-names":false,"suffix":""},{"dropping-particle":"","family":"Jia","given":"Xin","non-dropping-particle":"","parse-names":false,"suffix":""},{"dropping-particle":"","family":"Black","given":"T. Andrew","non-dropping-particle":"","parse-names":false,"suffix":""},{"dropping-particle":"","family":"Jassal","given":"Rachhpal S.","non-dropping-particle":"","parse-names":false,"suffix":""},{"dropping-particle":"","family":"Ma","given":"Jingyong","non-dropping-particle":"","parse-names":false,"suffix":""},{"dropping-particle":"","family":"Bai","given":"Yujie","non-dropping-particle":"","parse-names":false,"suffix":""},{"dropping-particle":"","family":"Wu","given":"Yajuan","non-dropping-particle":"","parse-names":false,"suffix":""}],"container-title":"Ecosystems","id":"ITEM-4","issue":"8","issued":{"date-parts":[["2019"]]},"page":"1869-1885","publisher":"Springer US","title":"Different Effects of Spring and Summer Droughts on Ecosystem Carbon and Water Exchanges in a Semiarid Shrubland Ecosystem in Northwest China","type":"article-journal","volume":"22"},"uris":["http://www.mendeley.com/documents/?uuid=9f01bc89-2745-4b70-9725-b63f9d2b7559"]}],"mendeley":{"formattedCitation":"(Fu et al., 2022; P. Liu et al., 2019; Pereira et al., 2007; Yu et al., 2022)","plainTextFormattedCitation":"(Fu et al., 2022; P. Liu et al., 2019; Pereira et al., 2007; Yu et al., 2022)","previouslyFormattedCitation":"(Fu et al., 2022; P. Liu et al., 2019; Pereira et al., 2007; Yu et al., 2022)"},"properties":{"noteIndex":0},"schema":"https://github.com/citation-style-language/schema/raw/master/csl-citation.json"}</w:instrText>
      </w:r>
      <w:r>
        <w:rPr>
          <w:rFonts w:ascii="Times New Roman" w:hAnsi="Times New Roman" w:cs="Times New Roman"/>
          <w:sz w:val="24"/>
          <w:szCs w:val="24"/>
        </w:rPr>
        <w:fldChar w:fldCharType="separate"/>
      </w:r>
      <w:r w:rsidRPr="005569EE">
        <w:rPr>
          <w:rFonts w:ascii="Times New Roman" w:hAnsi="Times New Roman" w:cs="Times New Roman"/>
          <w:noProof/>
          <w:sz w:val="24"/>
          <w:szCs w:val="24"/>
        </w:rPr>
        <w:t>(Fu et al., 2022; P. Liu et al., 2019; Pereira et al., 2007; Yu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Indeed, </w:t>
      </w:r>
      <w:r w:rsidRPr="004F3E51">
        <w:rPr>
          <w:rFonts w:ascii="Times New Roman" w:hAnsi="Times New Roman" w:cs="Times New Roman"/>
          <w:sz w:val="24"/>
          <w:szCs w:val="24"/>
        </w:rPr>
        <w:t>Europe experienced one of the most severe droughts in the 21</w:t>
      </w:r>
      <w:r w:rsidRPr="004F3E51">
        <w:rPr>
          <w:rFonts w:ascii="Times New Roman" w:hAnsi="Times New Roman" w:cs="Times New Roman"/>
          <w:sz w:val="24"/>
          <w:szCs w:val="24"/>
          <w:vertAlign w:val="superscript"/>
        </w:rPr>
        <w:t>st</w:t>
      </w:r>
      <w:r w:rsidRPr="004F3E51">
        <w:rPr>
          <w:rFonts w:ascii="Times New Roman" w:hAnsi="Times New Roman" w:cs="Times New Roman"/>
          <w:sz w:val="24"/>
          <w:szCs w:val="24"/>
        </w:rPr>
        <w:t xml:space="preserve"> century</w:t>
      </w:r>
      <w:r>
        <w:rPr>
          <w:rFonts w:ascii="Times New Roman" w:hAnsi="Times New Roman" w:cs="Times New Roman"/>
          <w:sz w:val="24"/>
          <w:szCs w:val="24"/>
        </w:rPr>
        <w:t xml:space="preserve"> d</w:t>
      </w:r>
      <w:r w:rsidRPr="004F3E51">
        <w:rPr>
          <w:rFonts w:ascii="Times New Roman" w:hAnsi="Times New Roman" w:cs="Times New Roman"/>
          <w:sz w:val="24"/>
          <w:szCs w:val="24"/>
        </w:rPr>
        <w:t xml:space="preserve">uring the summer of 2018 and to a lesser extent 2019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{"citationItems":[{"id":"ITEM-1","itemData":{"DOI":"10.1016/j.baae.2020.04.003","ISSN":"16180089","abstract":"In 2018, Central Europe experienced one of the most severe and long-lasting summer drought and heat wave ever recorded. Before 2018, the 2003 millennial drought was often invoked as the example of a “hotter drought”, and was classified as the most severe event in Europe for the last 500 years. First insights now confirm that the 2018 drought event was climatically more extreme and had a greater impact on forest ecosystems of Austria, Germany and Switzerland than the 2003 drought. Across this region, mean growing season air temperature from April to October was more than 3.3°C above the long-term average, and 1.2 °C warmer than in 2003. Here, we present a first impact assessment of the severe 2018 summer drought and heatwave on Central European forests. In response to the 2018 event, most ecologically and economically important tree species in temperate forests of Austria, Germany and Switzerland showed severe signs of drought stress. These symptoms included exceptionally low foliar water potentials crossing the threshold for xylem hydraulic failure in many species and observations of widespread leaf discoloration and premature leaf shedding. As a result of the extreme drought stress, the 2018 event caused unprecedented drought-induced tree mortality in many species throughout the region. Moreover, unexpectedly strong drought-legacy effects were detected in 2019. This implies that the physiological recovery of trees was impaired after the 2018 drought event, leaving them highly vulnerable to secondary drought impacts such as insect or fungal pathogen attacks. As a consequence, mortality of trees triggered by the 2018 events is likely to continue for several years. Our assessment indicates that many common temperate European forest tree species are more vulnerable to extreme summer drought and heat waves than previously thought. As drought and heat events are likely to occur more frequently with the progression of climate change, temperate European forests might approach the point for a substantial ecological and economic transition. Our assessment also highlights the urgent need for a pan-European ground-based monitoring network suited to track individual tree mortality, supported by remote sensing products with high spatial and temporal resolution to track, analyse and forecast these transitions.","author":[{"dropping-particle":"","family":"Schuldt","given":"Bernhard","non-dropping-particle":"","parse-names":false,"suffix":""},{"dropping-particle":"","family":"Buras","given":"Allan","non-dropping-particle":"","parse-names":false,"suffix":""},{"dropping-particle":"","family":"Arend","given":"Matthias","non-dropping-particle":"","parse-names":false,"suffix":""},{"dropping-particle":"","family":"Vitasse","given":"Yann","non-dropping-particle":"","parse-names":false,"suffix":""},{"dropping-particle":"","family":"Beierkuhnlein","given":"Carl","non-dropping-particle":"","parse-names":false,"suffix":""},{"dropping-particle":"","family":"Damm","given":"Alexander","non-dropping-particle":"","parse-names":false,"suffix":""},{"dropping-particle":"","family":"Gharun","given":"Mana","non-dropping-particle":"","parse-names":false,"suffix":""},{"dropping-particle":"","family":"Grams","given":"Thorsten E.E.","non-dropping-particle":"","parse-names":false,"suffix":""},{"dropping-particle":"","family":"Hauck","given":"Markus","non-dropping-particle":"","parse-names":false,"suffix":""},{"dropping-particle":"","family":"Hajek","given":"Peter","non-dropping-particle":"","parse-names":false,"suffix":""},{"dropping-particle":"","family":"Hartmann","given":"Henrik","non-dropping-particle":"","parse-names":false,"suffix":""},{"dropping-particle":"","family":"Hiltbrunner","given":"Erika","non-dropping-particle":"","parse-names":false,"suffix":""},{"dropping-particle":"","family":"Hoch","given":"Günter","non-dropping-particle":"","parse-names":false,"suffix":""},{"dropping-particle":"","family":"Holloway-Phillips","given":"Meisha","non-dropping-particle":"","parse-names":false,"suffix":""},{"dropping-particle":"","family":"Körner","given":"Christian","non-dropping-particle":"","parse-names":false,"suffix":""},{"dropping-particle":"","family":"Larysch","given":"Elena","non-dropping-particle":"","parse-names":false,"suffix":""},{"dropping-particle":"","family":"Lübbe","given":"Torben","non-dropping-particle":"","parse-names":false,"suffix":""},{"dropping-particle":"","family":"Nelson","given":"Daniel B.","non-dropping-particle":"","parse-names":false,"suffix":""},{"dropping-particle":"","family":"Rammig","given":"Anja","non-dropping-particle":"","parse-names":false,"suffix":""},{"dropping-particle":"","family":"Rigling","given":"Andreas","non-dropping-particle":"","parse-names":false,"suffix":""},{"dropping-particle":"","family":"Rose","given":"Laura","non-dropping-particle":"","parse-names":false,"suffix":""},{"dropping-particle":"","family":"Ruehr","given":"Nadine K.","non-dropping-particle":"","parse-names":false,"suffix":""},{"dropping-particle":"","family":"Schumann","given":"Katja","non-dropping-particle":"","parse-names":false,"suffix":""},{"dropping-particle":"","family":"Weiser","given":"Frank","non-dropping-particle":"","parse-names":false,"suffix":""},{"dropping-particle":"","family":"Werner","given":"Christiane","non-dropping-particle":"","parse-names":false,"suffix":""},{"dropping-particle":"","family":"Wohlgemuth","given":"Thomas","non-dropping-particle":"","parse-names":false,"suffix":""},{"dropping-particle":"","family":"Zang","given":"Christian S.","non-dropping-particle":"","parse-names":false,"suffix":""},{"dropping-particle":"","family":"Kahmen","given":"Ansgar","non-dropping-particle":"","parse-names":false,"suffix":""}],"container-title":"Basic and Applied Ecology","id":"ITEM-1","issued":{"date-parts":[["2020"]]},"page":"86-103","title":"A first assessment of the impact of the extreme 2018 summer drought on Central European forests","type":"article-journal","volume":"45"},"uris":["http://www.mendeley.com/documents/?uuid=588f7f45-b82d-48bd-bbf2-27383965b5b5"]},{"id":"ITEM-2","itemData":{"DOI":"10.5194/bg-17-1655-2020","ISSN":"17264189","abstract":"In recent decades, an increasing persistence of atmospheric circulation patterns has been observed. In the course of the associated long-lasting anticyclonic summer circulations, heatwaves and drought spells often coincide, leading to so-called hotter droughts. Previous hotter droughts caused a decrease in agricultural yields and an increase in tree mortality. Thus, they had a remarkable effect on carbon budgets and negative economic impacts. Consequently, a quantification of ecosystem responses to hotter droughts and a better understanding of the underlying mechanisms are crucial. In this context, the European hotter drought of the year 2018 may be considered a key event. As a first step towards the quantification of its causes and consequences, we here assess anomalies of atmospheric circulation patterns, maximum temperature, and climatic water balance as potential drivers of ecosystem responses which are quantified by remote sensing using the MODIS vegetation indices (VIs) normalized difference vegetation index (NDVI) and enhanced vegetation index (EVI). To place the drought of 2018 within a climatological context, we compare its climatic features and remotely sensed ecosystem response with the extreme hot drought of 2003. The year 2018 was characterized by a climatic dipole, featuring extremely hot and dry weather conditions north of the Alps but comparably cool and moist conditions across large parts of the Mediterranean. Analysing the ecosystem response of five dominant land cover classes, we found significant positive effects of climatic water balance on ecosystem VI response. Negative drought impacts appeared to affect an area 1.5 times larger and to be significantly stronger in July 2018 compared to August 2003, i.e. at the respective peak of drought. Moreover, we found a significantly higher sensitivity of pastures and arable land to climatic water balance compared to forests in both years. We explain the stronger coupling and higher sensitivity of ecosystem response in 2018 by the prevailing climatic dipole: while the generally water-limited ecosystems of the Mediterranean experienced above-average climatic water balance, the less drought-adapted ecosystems of central and northern Europe experienced a record hot drought. In conclusion, this study quantifies the drought of 2018 as a yet unprecedented event, outlines hotspots of drought-impacted areas in 2018 which should be given particular attention in follow-up studies, and provides valuable…","author":[{"dropping-particle":"","family":"Buras","given":"Allan","non-dropping-particle":"","parse-names":false,"suffix":""},{"dropping-particle":"","family":"Rammig","given":"Anja","non-dropping-particle":"","parse-names":false,"suffix":""},{"dropping-particle":"","family":"S. Zang","given":"Christian","non-dropping-particle":"","parse-names":false,"suffix":""}],"container-title":"Biogeosciences","id":"ITEM-2","issue":"6","issued":{"date-parts":[["2020"]]},"page":"1655-1672","title":"Quantifying impacts of the 2018 drought on European ecosystems in comparison to 2003","type":"article-journal","volume":"17"},"uris":["http://www.mendeley.com/documents/?uuid=e504b77b-16ec-4429-83a1-06b1f0d70ae2"]},{"id":"ITEM-3","itemData":{"DOI":"10.1126/sciadv.aba2724","ISSN":"23752548","PMID":"32577519","abstract":"In summer 2018, central and northern Europe were stricken by extreme drought and heat (DH2018). The DH2018 differed from previous events in being preceded by extreme spring warming and brightening, but moderate rainfall deficits, yet registering the fastest transition between wet winter conditions and extreme summer drought. Using 11 vegetation models, we show that spring conditions promoted increased vegetation growth, which, in turn, contributed to fast soil moisture depletion, amplifying the summer drought. We find regional asymmetries in summer ecosystem carbon fluxes: Increased (reduced) sink in the northern (southern) areas affected by drought. These asymmetries can be explained by distinct legacy effects of spring growth and of water-use efficiency dynamics mediated by vegetation composition, rather than by distinct ecosystem responses to summer heat/drought. The asymmetries in carbon and water exchanges during spring and summer 2018 suggest that future land-management strategies could influence patterns of summer heat waves and droughts under long-term warming.","author":[{"dropping-particle":"","family":"Bastos","given":"A.","non-dropping-particle":"","parse-names":false,"suffix":""},{"dropping-particle":"","family":"Ciais","given":"P.","non-dropping-particle":"","parse-names":false,"suffix":""},{"dropping-particle":"","family":"Friedlingstein","given":"P.","non-dropping-particle":"","parse-names":false,"suffix":""},{"dropping-particle":"","family":"Sitch","given":"S.","non-dropping-particle":"","parse-names":false,"suffix":""},{"dropping-particle":"","family":"Pongratz","given":"J.","non-dropping-particle":"","parse-names":false,"suffix":""},{"dropping-particle":"","family":"Fan","given":"L.","non-dropping-particle":"","parse-names":false,"suffix":""},{"dropping-particle":"","family":"Wigneron","given":"J. P.","non-dropping-particle":"","parse-names":false,"suffix":""},{"dropping-particle":"","family":"Weber","given":"U.","non-dropping-particle":"","parse-names":false,"suffix":""},{"dropping-particle":"","family":"Reichstein","given":"M.","non-dropping-particle":"","parse-names":false,"suffix":""},{"dropping-particle":"","family":"Fu","given":"Z.","non-dropping-particle":"","parse-names":false,"suffix":""},{"dropping-particle":"","family":"Anthoni","given":"P.","non-dropping-particle":"","parse-names":false,"suffix":""},{"dropping-particle":"","family":"Arneth","given":"A.","non-dropping-particle":"","parse-names":false,"suffix":""},{"dropping-particle":"","family":"Haverd","given":"V.","non-dropping-particle":"","parse-names":false,"suffix":""},{"dropping-particle":"","family":"Jain","given":"A. K.","non-dropping-particle":"","parse-names":false,"suffix":""},{"dropping-particle":"","family":"Joetzjer","given":"E.","non-dropping-particle":"","parse-names":false,"suffix":""},{"dropping-particle":"","family":"Knauer","given":"J.","non-dropping-particle":"","parse-names":false,"suffix":""},{"dropping-particle":"","family":"Lienert","given":"S.","non-dropping-particle":"","parse-names":false,"suffix":""},{"dropping-particle":"","family":"Loughran","given":"T.","non-dropping-particle":"","parse-names":false,"suffix":""},{"dropping-particle":"","family":"McGuire","given":"P. C.","non-dropping-particle":"","parse-names":false,"suffix":""},{"dropping-particle":"","family":"Tian","given":"H.","non-dropping-particle":"","parse-names":false,"suffix":""},{"dropping-particle":"","family":"Viovy","given":"N.","non-dropping-particle":"","parse-names":false,"suffix":""},{"dropping-particle":"","family":"Zaehle","given":"S.","non-dropping-particle":"","parse-names":false,"suffix":""}],"container-title":"Science Advances","id":"ITEM-3","issue":"24","issued":{"date-parts":[["2020"]]},"page":"1-14","title":"Direct and seasonal legacy effects of the 2018 heat wave and drought on European ecosystem productivity","type":"article-journal","volume":"6"},"uris":["http://www.mendeley.com/documents/?uuid=82b0d144-7694-4698-9dfa-ff6e3bec8453"]}],"mendeley":{"formattedCitation":"(Bastos et al., 2020; Buras, Rammig, &amp; S. Zang, 2020; Schuldt et al., 2020)","plainTextFormattedCitation":"(Bastos et al., 2020; Buras, Rammig, &amp; S. Zang, 2020; Schuldt et al., 2020)","previouslyFormattedCitation":"(Bastos et al., 2020; Buras, Rammig, &amp; S. Zang, 2020; Schuldt et al., 2020)"},"properties":{"noteIndex":0},"schema":"https://github.com/citation-style-language/schema/raw/master/csl-citation.json"}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 xml:space="preserve">(Bastos et al., 2020; Buras, Rammig, &amp; S. </w:t>
      </w:r>
      <w:r w:rsidRPr="00045A1D">
        <w:rPr>
          <w:rFonts w:ascii="Times New Roman" w:hAnsi="Times New Roman" w:cs="Times New Roman"/>
          <w:noProof/>
          <w:sz w:val="24"/>
          <w:szCs w:val="24"/>
        </w:rPr>
        <w:lastRenderedPageBreak/>
        <w:t>Zang, 2020; Schuldt et al., 2020)</w:t>
      </w:r>
      <w:r w:rsidRPr="004F3E51">
        <w:rPr>
          <w:rFonts w:ascii="Times New Roman" w:hAnsi="Times New Roman" w:cs="Times New Roman"/>
          <w:sz w:val="24"/>
          <w:szCs w:val="24"/>
        </w:rPr>
        <w:fldChar w:fldCharType="end"/>
      </w:r>
      <w:r>
        <w:rPr>
          <w:rFonts w:ascii="Times New Roman" w:hAnsi="Times New Roman" w:cs="Times New Roman"/>
          <w:sz w:val="24"/>
          <w:szCs w:val="24"/>
        </w:rPr>
        <w:t xml:space="preserve">. The legacy effects of this drought on vegetation </w:t>
      </w:r>
      <w:r w:rsidRPr="00E967F8">
        <w:rPr>
          <w:rFonts w:ascii="Times New Roman" w:hAnsi="Times New Roman" w:cs="Times New Roman"/>
          <w:sz w:val="24"/>
          <w:szCs w:val="24"/>
        </w:rPr>
        <w:t>might have persisted until 2020</w:t>
      </w:r>
      <w:r>
        <w:rPr>
          <w:rFonts w:ascii="Times New Roman" w:hAnsi="Times New Roman" w:cs="Times New Roman"/>
          <w:sz w:val="24"/>
          <w:szCs w:val="24"/>
        </w:rPr>
        <w:t xml:space="preserve"> at CH-Dav, DE-Hai, DE-Hzd, DE-Obe and DE-Tha (Fig. 6). Trees are particularly susceptible to insect and pathogen outbreaks under </w:t>
      </w:r>
      <w:r w:rsidRPr="00AD4498">
        <w:rPr>
          <w:rFonts w:ascii="Times New Roman" w:hAnsi="Times New Roman" w:cs="Times New Roman"/>
          <w:sz w:val="24"/>
          <w:szCs w:val="24"/>
        </w:rPr>
        <w:t xml:space="preserve">prolonged or </w:t>
      </w:r>
      <w:r>
        <w:rPr>
          <w:rFonts w:ascii="Times New Roman" w:hAnsi="Times New Roman" w:cs="Times New Roman"/>
          <w:sz w:val="24"/>
          <w:szCs w:val="24"/>
        </w:rPr>
        <w:t>extreme</w:t>
      </w:r>
      <w:r w:rsidRPr="00AD4498">
        <w:rPr>
          <w:rFonts w:ascii="Times New Roman" w:hAnsi="Times New Roman" w:cs="Times New Roman"/>
          <w:sz w:val="24"/>
          <w:szCs w:val="24"/>
        </w:rPr>
        <w:t xml:space="preserve"> drought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{"citationItems":[{"id":"ITEM-1","itemData":{"DOI":"10.1111/j.1365-2486.2011.02512.x","ISSN":"13541013","abstract":"In the context of climate change, the effects of prolonged or more severe droughts on pest and pathogen damage are a major concern for forest ecosystems. To date, there is great uncertainty about the direction, magnitude and sources of variation in responses to drought by insects and fungi. We report the outcomes of a meta-analysis of 100 pairwise comparisons of insect pest or pathogen damage to water-stressed and control trees from 40 publications. The type of feeding substrate for insects and fungi and the water stress severity emerged as the main factors influencing the level of damage in water-stressed trees. Overall, primary damaging agents living in wood caused significantly lower damage to the water-stressed trees compared with the control, whereas primary pests and pathogens living on foliage caused more damage to water-stressed trees, in all cases irrespective of stress severity. In contrast, damage by secondary agents increased with stress severity, which was best estimated by the ratio between the predawn leaf water potential in stressed trees and the xylem pressure inducing 50% loss in hydraulic conductance due to cavitation, a species-specific index of drought tolerance. Insect and fungus feeding behaviour, affected tree part, and water stress severity are therefore proposed as three important predictors of forest damage in drought conditions. © 2011 Blackwell Publishing Ltd.","author":[{"dropping-particle":"","family":"Jactel","given":"Hervé","non-dropping-particle":"","parse-names":false,"suffix":""},{"dropping-particle":"","family":"Petit","given":"Jérôme","non-dropping-particle":"","parse-names":false,"suffix":""},{"dropping-particle":"","family":"Desprez-Loustau","given":"Marie Laure","non-dropping-particle":"","parse-names":false,"suffix":""},{"dropping-particle":"","family":"Delzon","given":"Sylvain","non-dropping-particle":"","parse-names":false,"suffix":""},{"dropping-particle":"","family":"Piou","given":"Dominique","non-dropping-particle":"","parse-names":false,"suffix":""},{"dropping-particle":"","family":"Battisti","given":"Andrea","non-dropping-particle":"","parse-names":false,"suffix":""},{"dropping-particle":"","family":"Koricheva","given":"Julia","non-dropping-particle":"","parse-names":false,"suffix":""}],"container-title":"Global Change Biology","id":"ITEM-1","issue":"1","issued":{"date-parts":[["2012"]]},"page":"267-276","title":"Drought effects on damage by forest insects and pathogens: A meta-analysis","type":"article-journal","volume":"18"},"uris":["http://www.mendeley.com/documents/?uuid=8da1def5-109d-49d7-9da8-b3d75af56411"]}],"mendeley":{"formattedCitation":"(Jactel et al., 2012)","plainTextFormattedCitation":"(Jactel et al., 2012)","previouslyFormattedCitation":"(Jactel et al., 2012)"},"properties":{"noteIndex":0},"schema":"https://github.com/citation-style-language/schema/raw/master/csl-citation.json"}</w:instrText>
      </w:r>
      <w:r>
        <w:rPr>
          <w:rFonts w:ascii="Times New Roman" w:hAnsi="Times New Roman" w:cs="Times New Roman"/>
          <w:sz w:val="24"/>
          <w:szCs w:val="24"/>
        </w:rPr>
        <w:fldChar w:fldCharType="separate"/>
      </w:r>
      <w:r w:rsidRPr="00D61A72">
        <w:rPr>
          <w:rFonts w:ascii="Times New Roman" w:hAnsi="Times New Roman" w:cs="Times New Roman"/>
          <w:noProof/>
          <w:sz w:val="24"/>
          <w:szCs w:val="24"/>
        </w:rPr>
        <w:t>(Jactel et al., 2012)</w:t>
      </w:r>
      <w:r>
        <w:rPr>
          <w:rFonts w:ascii="Times New Roman" w:hAnsi="Times New Roman" w:cs="Times New Roman"/>
          <w:sz w:val="24"/>
          <w:szCs w:val="24"/>
        </w:rPr>
        <w:fldChar w:fldCharType="end"/>
      </w:r>
      <w:r>
        <w:rPr>
          <w:rFonts w:ascii="Times New Roman" w:hAnsi="Times New Roman" w:cs="Times New Roman"/>
          <w:sz w:val="24"/>
          <w:szCs w:val="24"/>
        </w:rPr>
        <w:t xml:space="preserve">, which can lead to mortality and a shift in </w:t>
      </w:r>
      <w:r w:rsidRPr="00A359AC">
        <w:rPr>
          <w:rFonts w:ascii="Times New Roman" w:hAnsi="Times New Roman" w:cs="Times New Roman"/>
          <w:sz w:val="24"/>
          <w:szCs w:val="24"/>
        </w:rPr>
        <w:t>forest structure and composition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{"citationItems":[{"id":"ITEM-1","itemData":{"DOI":"10.1016/j.agrformet.2021.108507","ISSN":"01681923","abstract":"Climate extremes are expected to have severe impacts on carbon cycle balance and ecosystem services, because of the highly nonlinear dependence of many carbon processes on climate variability. These impacts, such as the European heatwave in 2003, have been well documented for some temperate forests. However, few studies have been conducted on subtropical forests, which play a significant role in the global carbon cycle. Here, we analyzed continuous carbon flux measurements of a subtropical forest in South China from 2003 to 2016, during which the forest experienced extreme cold and hot spells and a prolonged drought. We found that the forest was a strong carbon sink, taking up about 400 to 740 g C m−2 yr−1 in most years, and that the forest became a much weaker sink or even a carbon source during two extreme periods. This large interannual variation of net carbon uptake by this forest resulted from the different responses of gross primary production (GPP) and terrestrial ecosystem respiration (TER) to climate extremes. The observed reduction in GPP during extreme years was well simulated by lowering maximum leaf carboxylation rate (vcmax) in a process-based model. Parameter optimization suggests that the reduced vcmax in the model recovered quickly after hot and cold spells but remained low after the prolonged drought. During the prolonged drought, the observed tree mortality and litter fall significantly increased, which increased TER in the following year. This lagged response in TER significantly contributed to the weakened carbon sinks of the forest during the two extremes. Our study highlights the importance of community dynamics and lagged response of the terrestrial carbon cycle to climate extremes.","author":[{"dropping-particle":"","family":"Li","given":"Xueyan","non-dropping-particle":"","parse-names":false,"suffix":""},{"dropping-particle":"","family":"Wang","given":"Ying Ping","non-dropping-particle":"","parse-names":false,"suffix":""},{"dropping-particle":"","family":"Lu","given":"Xingjie","non-dropping-particle":"","parse-names":false,"suffix":""},{"dropping-particle":"","family":"Yan","given":"Junhua","non-dropping-particle":"","parse-names":false,"suffix":""}],"container-title":"Agricultural and Forest Meteorology","id":"ITEM-1","issued":{"date-parts":[["2021"]]},"page":"108507","publisher":"Elsevier B.V.","title":"Diagnosing the impacts of climate extremes on the interannual variations of carbon fluxes of a subtropical evergreen mixed forest","type":"article-journal","volume":"307"},"uris":["http://www.mendeley.com/documents/?uuid=b3589aad-38a5-41fc-8bed-bf469b72fb21"]}],"mendeley":{"formattedCitation":"(Li, Wang, Lu, &amp; Yan, 2021)","plainTextFormattedCitation":"(Li, Wang, Lu, &amp; Yan, 2021)","previouslyFormattedCitation":"(Li, Wang, Lu, &amp; Yan, 2021)"},"properties":{"noteIndex":0},"schema":"https://github.com/citation-style-language/schema/raw/master/csl-citation.json"}</w:instrText>
      </w:r>
      <w:r>
        <w:rPr>
          <w:rFonts w:ascii="Times New Roman" w:hAnsi="Times New Roman" w:cs="Times New Roman"/>
          <w:sz w:val="24"/>
          <w:szCs w:val="24"/>
        </w:rPr>
        <w:fldChar w:fldCharType="separate"/>
      </w:r>
      <w:r w:rsidRPr="00D61A72">
        <w:rPr>
          <w:rFonts w:ascii="Times New Roman" w:hAnsi="Times New Roman" w:cs="Times New Roman"/>
          <w:noProof/>
          <w:sz w:val="24"/>
          <w:szCs w:val="24"/>
        </w:rPr>
        <w:t>(Li, Wang, Lu, &amp; Yan, 2021)</w:t>
      </w:r>
      <w:r>
        <w:rPr>
          <w:rFonts w:ascii="Times New Roman" w:hAnsi="Times New Roman" w:cs="Times New Roman"/>
          <w:sz w:val="24"/>
          <w:szCs w:val="24"/>
        </w:rPr>
        <w:fldChar w:fldCharType="end"/>
      </w:r>
      <w:r>
        <w:rPr>
          <w:rFonts w:ascii="Times New Roman" w:hAnsi="Times New Roman" w:cs="Times New Roman"/>
          <w:sz w:val="24"/>
          <w:szCs w:val="24"/>
        </w:rPr>
        <w:t>. These legacy effects which are not incorporated in the model may explain the relatively large d</w:t>
      </w:r>
      <w:r w:rsidRPr="005219B7">
        <w:rPr>
          <w:rFonts w:ascii="Times New Roman" w:hAnsi="Times New Roman" w:cs="Times New Roman"/>
          <w:sz w:val="24"/>
          <w:szCs w:val="24"/>
        </w:rPr>
        <w:t>iscrepanc</w:t>
      </w:r>
      <w:r>
        <w:rPr>
          <w:rFonts w:ascii="Times New Roman" w:hAnsi="Times New Roman" w:cs="Times New Roman"/>
          <w:sz w:val="24"/>
          <w:szCs w:val="24"/>
        </w:rPr>
        <w:t>ies</w:t>
      </w:r>
      <w:r w:rsidRPr="005219B7">
        <w:rPr>
          <w:rFonts w:ascii="Times New Roman" w:hAnsi="Times New Roman" w:cs="Times New Roman"/>
          <w:sz w:val="24"/>
          <w:szCs w:val="24"/>
        </w:rPr>
        <w:t xml:space="preserve"> between observ</w:t>
      </w:r>
      <w:r>
        <w:rPr>
          <w:rFonts w:ascii="Times New Roman" w:hAnsi="Times New Roman" w:cs="Times New Roman"/>
          <w:sz w:val="24"/>
          <w:szCs w:val="24"/>
        </w:rPr>
        <w:t xml:space="preserve">ed and predicted GPP, especially at more </w:t>
      </w:r>
      <w:r w:rsidRPr="005219B7">
        <w:rPr>
          <w:rFonts w:ascii="Times New Roman" w:hAnsi="Times New Roman" w:cs="Times New Roman"/>
          <w:sz w:val="24"/>
          <w:szCs w:val="24"/>
        </w:rPr>
        <w:t>severely drought-impacted sites</w:t>
      </w:r>
      <w:r>
        <w:rPr>
          <w:rFonts w:ascii="Times New Roman" w:hAnsi="Times New Roman" w:cs="Times New Roman"/>
          <w:sz w:val="24"/>
          <w:szCs w:val="24"/>
        </w:rPr>
        <w:t xml:space="preserve"> such as CH-Dav, DE-Hai and DE-Hzd </w:t>
      </w:r>
      <w:r>
        <w:rPr>
          <w:rFonts w:ascii="Times New Roman" w:eastAsia="Times New Roman" w:hAnsi="Times New Roman" w:cs="Times New Roman"/>
          <w:sz w:val="24"/>
          <w:szCs w:val="24"/>
        </w:rPr>
        <w:t>(</w:t>
      </w:r>
      <w:r w:rsidRPr="009D2D79">
        <w:rPr>
          <w:rFonts w:ascii="Times New Roman" w:eastAsia="Times New Roman" w:hAnsi="Times New Roman" w:cs="Times New Roman"/>
          <w:i/>
          <w:iCs/>
          <w:sz w:val="24"/>
          <w:szCs w:val="24"/>
        </w:rPr>
        <w:t>R</w:t>
      </w:r>
      <w:r w:rsidRPr="009D2D79">
        <w:rPr>
          <w:rFonts w:ascii="Times New Roman" w:eastAsia="Times New Roman" w:hAnsi="Times New Roman" w:cs="Times New Roman"/>
          <w:i/>
          <w:iCs/>
          <w:sz w:val="24"/>
          <w:szCs w:val="24"/>
          <w:vertAlign w:val="superscript"/>
        </w:rPr>
        <w:t>2</w:t>
      </w:r>
      <w:r w:rsidRPr="009D2D79">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&lt; 0.43, NRMSE &lt; 25%). </w:t>
      </w:r>
      <w:r w:rsidRPr="000F5DDC">
        <w:rPr>
          <w:rFonts w:ascii="Times New Roman" w:eastAsia="Times New Roman" w:hAnsi="Times New Roman" w:cs="Times New Roman"/>
          <w:sz w:val="24"/>
          <w:szCs w:val="24"/>
        </w:rPr>
        <w:t xml:space="preserve">While other sites experienced a negative GPP anomaly due to drought, the afforested peatbog RU-Fy2 was the only </w:t>
      </w:r>
      <w:r>
        <w:rPr>
          <w:rFonts w:ascii="Times New Roman" w:eastAsia="Times New Roman" w:hAnsi="Times New Roman" w:cs="Times New Roman"/>
          <w:sz w:val="24"/>
          <w:szCs w:val="24"/>
        </w:rPr>
        <w:t>site</w:t>
      </w:r>
      <w:r w:rsidRPr="000F5DDC">
        <w:rPr>
          <w:rFonts w:ascii="Times New Roman" w:eastAsia="Times New Roman" w:hAnsi="Times New Roman" w:cs="Times New Roman"/>
          <w:sz w:val="24"/>
          <w:szCs w:val="24"/>
        </w:rPr>
        <w:t xml:space="preserve"> where this anomaly was not linked to dry conditions. Instead, excess rainfall may have created anaerobic conditions that weakened the photosynthetic activity of spruce trees.</w:t>
      </w:r>
    </w:p>
    <w:p w14:paraId="18B05C7E" w14:textId="77777777" w:rsidR="00103AF5" w:rsidRPr="0094660C" w:rsidRDefault="00103AF5" w:rsidP="00103AF5">
      <w:pPr>
        <w:pStyle w:val="ListParagraph"/>
        <w:snapToGrid w:val="0"/>
        <w:spacing w:after="120" w:line="480" w:lineRule="auto"/>
        <w:ind w:left="0"/>
        <w:rPr>
          <w:rFonts w:ascii="Times New Roman" w:hAnsi="Times New Roman" w:cs="Times New Roman"/>
          <w:sz w:val="24"/>
          <w:szCs w:val="24"/>
        </w:rPr>
      </w:pPr>
      <w:r>
        <w:rPr>
          <w:noProof/>
        </w:rPr>
        <w:drawing>
          <wp:inline distT="0" distB="0" distL="0" distR="0" wp14:anchorId="2ACDEB49" wp14:editId="38C82563">
            <wp:extent cx="5760720" cy="3792220"/>
            <wp:effectExtent l="0" t="0" r="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13"/>
                    <a:stretch>
                      <a:fillRect/>
                    </a:stretch>
                  </pic:blipFill>
                  <pic:spPr>
                    <a:xfrm>
                      <a:off x="0" y="0"/>
                      <a:ext cx="5760720" cy="3792220"/>
                    </a:xfrm>
                    <a:prstGeom prst="rect">
                      <a:avLst/>
                    </a:prstGeom>
                  </pic:spPr>
                </pic:pic>
              </a:graphicData>
            </a:graphic>
          </wp:inline>
        </w:drawing>
      </w:r>
    </w:p>
    <w:p w14:paraId="40D90392" w14:textId="77777777" w:rsidR="00103AF5" w:rsidRDefault="00103AF5" w:rsidP="00103AF5">
      <w:pPr>
        <w:snapToGrid w:val="0"/>
        <w:spacing w:after="0" w:line="480" w:lineRule="auto"/>
        <w:rPr>
          <w:rFonts w:ascii="Times New Roman" w:hAnsi="Times New Roman" w:cs="Times New Roman"/>
          <w:bCs/>
          <w:sz w:val="24"/>
          <w:szCs w:val="24"/>
        </w:rPr>
      </w:pPr>
      <w:r w:rsidRPr="00B93F86">
        <w:rPr>
          <w:rFonts w:ascii="Times New Roman" w:hAnsi="Times New Roman" w:cs="Times New Roman"/>
          <w:b/>
          <w:sz w:val="24"/>
          <w:szCs w:val="24"/>
        </w:rPr>
        <w:t xml:space="preserve">Fig. 6. </w:t>
      </w:r>
      <w:r w:rsidRPr="00B93F86">
        <w:rPr>
          <w:rFonts w:ascii="Times New Roman" w:hAnsi="Times New Roman" w:cs="Times New Roman"/>
          <w:bCs/>
          <w:sz w:val="24"/>
          <w:szCs w:val="24"/>
        </w:rPr>
        <w:t>Interannual variations of spring (averaged or summed from March to June) (a) air temperature (</w:t>
      </w:r>
      <w:r w:rsidRPr="00B93F86">
        <w:rPr>
          <w:rFonts w:ascii="Times New Roman" w:hAnsi="Times New Roman" w:cs="Times New Roman"/>
          <w:bCs/>
          <w:i/>
          <w:iCs/>
          <w:sz w:val="24"/>
          <w:szCs w:val="24"/>
        </w:rPr>
        <w:t>T</w:t>
      </w:r>
      <w:r w:rsidRPr="00B93F86">
        <w:rPr>
          <w:rFonts w:ascii="Times New Roman" w:hAnsi="Times New Roman" w:cs="Times New Roman"/>
          <w:bCs/>
          <w:i/>
          <w:iCs/>
          <w:sz w:val="24"/>
          <w:szCs w:val="24"/>
          <w:vertAlign w:val="subscript"/>
        </w:rPr>
        <w:t>a</w:t>
      </w:r>
      <w:r w:rsidRPr="00B93F86">
        <w:rPr>
          <w:rFonts w:ascii="Times New Roman" w:hAnsi="Times New Roman" w:cs="Times New Roman"/>
          <w:bCs/>
          <w:sz w:val="24"/>
          <w:szCs w:val="24"/>
        </w:rPr>
        <w:t>), (b) incoming shortwave radiation (SW</w:t>
      </w:r>
      <w:r w:rsidRPr="00B93F86">
        <w:rPr>
          <w:rFonts w:ascii="Times New Roman" w:hAnsi="Times New Roman" w:cs="Times New Roman"/>
          <w:bCs/>
          <w:sz w:val="24"/>
          <w:szCs w:val="24"/>
          <w:vertAlign w:val="subscript"/>
        </w:rPr>
        <w:t>in</w:t>
      </w:r>
      <w:r w:rsidRPr="00B93F86">
        <w:rPr>
          <w:rFonts w:ascii="Times New Roman" w:hAnsi="Times New Roman" w:cs="Times New Roman"/>
          <w:bCs/>
          <w:sz w:val="24"/>
          <w:szCs w:val="24"/>
        </w:rPr>
        <w:t>), (c) precipitation (</w:t>
      </w:r>
      <w:r w:rsidRPr="00356E15">
        <w:rPr>
          <w:rFonts w:ascii="Times New Roman" w:hAnsi="Times New Roman" w:cs="Times New Roman"/>
          <w:bCs/>
          <w:sz w:val="24"/>
          <w:szCs w:val="24"/>
        </w:rPr>
        <w:t>P</w:t>
      </w:r>
      <w:r w:rsidRPr="00356E15">
        <w:rPr>
          <w:rFonts w:ascii="Times New Roman" w:hAnsi="Times New Roman" w:cs="Times New Roman"/>
          <w:bCs/>
          <w:sz w:val="24"/>
          <w:szCs w:val="24"/>
          <w:vertAlign w:val="subscript"/>
        </w:rPr>
        <w:t>tot</w:t>
      </w:r>
      <w:r w:rsidRPr="00B93F86">
        <w:rPr>
          <w:rFonts w:ascii="Times New Roman" w:hAnsi="Times New Roman" w:cs="Times New Roman"/>
          <w:bCs/>
          <w:sz w:val="24"/>
          <w:szCs w:val="24"/>
        </w:rPr>
        <w:t xml:space="preserve">) and soil water content (SWC), and (d) gross primary production (GPP) during the study period from </w:t>
      </w:r>
      <w:r w:rsidRPr="00B93F86">
        <w:rPr>
          <w:rFonts w:ascii="Times New Roman" w:hAnsi="Times New Roman" w:cs="Times New Roman"/>
          <w:bCs/>
          <w:sz w:val="24"/>
          <w:szCs w:val="24"/>
        </w:rPr>
        <w:lastRenderedPageBreak/>
        <w:t xml:space="preserve">2015 to 2020 at two deciduous broadleaf forests (DE-Hai and DE-Hzd) and three evergreen needleleaf forests (CH-Dav, DE-Obe and DE-Tha) in Group 1. </w:t>
      </w:r>
      <w:r w:rsidRPr="00AD1416">
        <w:rPr>
          <w:rFonts w:ascii="Times New Roman" w:hAnsi="Times New Roman" w:cs="Times New Roman"/>
          <w:bCs/>
          <w:sz w:val="24"/>
          <w:szCs w:val="24"/>
        </w:rPr>
        <w:t>Each error bar denotes a standard deviation.</w:t>
      </w:r>
    </w:p>
    <w:p w14:paraId="606AE1E9" w14:textId="77777777" w:rsidR="00103AF5" w:rsidRDefault="00103AF5" w:rsidP="00103AF5">
      <w:pPr>
        <w:snapToGrid w:val="0"/>
        <w:spacing w:after="0" w:line="480" w:lineRule="auto"/>
        <w:rPr>
          <w:rFonts w:ascii="Times New Roman" w:hAnsi="Times New Roman" w:cs="Times New Roman"/>
          <w:bCs/>
          <w:sz w:val="24"/>
          <w:szCs w:val="24"/>
        </w:rPr>
      </w:pPr>
    </w:p>
    <w:p w14:paraId="7F699ABB" w14:textId="77777777" w:rsidR="00103AF5" w:rsidRPr="00B93F86" w:rsidRDefault="00103AF5" w:rsidP="00103AF5">
      <w:pPr>
        <w:snapToGrid w:val="0"/>
        <w:spacing w:after="0" w:line="480" w:lineRule="auto"/>
        <w:rPr>
          <w:rFonts w:ascii="Times New Roman" w:hAnsi="Times New Roman" w:cs="Times New Roman"/>
          <w:b/>
          <w:sz w:val="24"/>
          <w:szCs w:val="24"/>
        </w:rPr>
      </w:pPr>
      <w:r w:rsidRPr="00942504">
        <w:rPr>
          <w:rFonts w:ascii="Times New Roman" w:hAnsi="Times New Roman" w:cs="Times New Roman"/>
          <w:b/>
          <w:sz w:val="24"/>
          <w:szCs w:val="24"/>
        </w:rPr>
        <w:t xml:space="preserve">4.2 Positive GPP anomalies </w:t>
      </w:r>
      <w:r>
        <w:rPr>
          <w:rFonts w:ascii="Times New Roman" w:hAnsi="Times New Roman" w:cs="Times New Roman"/>
          <w:b/>
          <w:sz w:val="24"/>
          <w:szCs w:val="24"/>
        </w:rPr>
        <w:t>were</w:t>
      </w:r>
      <w:r w:rsidRPr="00942504">
        <w:rPr>
          <w:rFonts w:ascii="Times New Roman" w:hAnsi="Times New Roman" w:cs="Times New Roman"/>
          <w:b/>
          <w:sz w:val="24"/>
          <w:szCs w:val="24"/>
        </w:rPr>
        <w:t xml:space="preserve"> associated with enhancement in solar irradiance</w:t>
      </w:r>
    </w:p>
    <w:p w14:paraId="1161F824" w14:textId="77777777" w:rsidR="00103AF5" w:rsidRDefault="00103AF5" w:rsidP="00103AF5">
      <w:pPr>
        <w:snapToGrid w:val="0"/>
        <w:spacing w:after="0" w:line="480" w:lineRule="auto"/>
        <w:rPr>
          <w:rFonts w:ascii="Times New Roman" w:hAnsi="Times New Roman" w:cs="Times New Roman"/>
          <w:sz w:val="24"/>
          <w:szCs w:val="24"/>
        </w:rPr>
      </w:pPr>
      <w:r>
        <w:rPr>
          <w:rFonts w:ascii="Times New Roman" w:hAnsi="Times New Roman" w:cs="Times New Roman"/>
          <w:sz w:val="24"/>
          <w:szCs w:val="24"/>
        </w:rPr>
        <w:t>Our findings indicate that the positive GPP anomaly was primarily driven by enhanced SW</w:t>
      </w:r>
      <w:r w:rsidRPr="00942504">
        <w:rPr>
          <w:rFonts w:ascii="Times New Roman" w:hAnsi="Times New Roman" w:cs="Times New Roman"/>
          <w:sz w:val="24"/>
          <w:szCs w:val="24"/>
          <w:vertAlign w:val="subscript"/>
        </w:rPr>
        <w:t>in</w:t>
      </w:r>
      <w:r>
        <w:rPr>
          <w:rFonts w:ascii="Times New Roman" w:hAnsi="Times New Roman" w:cs="Times New Roman"/>
          <w:sz w:val="24"/>
          <w:szCs w:val="24"/>
        </w:rPr>
        <w:t xml:space="preserve">, which outweighed the combined negative effects of increased VPD, reduced </w:t>
      </w:r>
      <w:r w:rsidRPr="00356E15">
        <w:rPr>
          <w:rFonts w:ascii="Times New Roman" w:hAnsi="Times New Roman" w:cs="Times New Roman"/>
          <w:bCs/>
          <w:sz w:val="24"/>
          <w:szCs w:val="24"/>
        </w:rPr>
        <w:t>P</w:t>
      </w:r>
      <w:r w:rsidRPr="00356E15">
        <w:rPr>
          <w:rFonts w:ascii="Times New Roman" w:hAnsi="Times New Roman" w:cs="Times New Roman"/>
          <w:bCs/>
          <w:sz w:val="24"/>
          <w:szCs w:val="24"/>
          <w:vertAlign w:val="subscript"/>
        </w:rPr>
        <w:t>tot</w:t>
      </w:r>
      <w:r>
        <w:rPr>
          <w:rFonts w:ascii="Times New Roman" w:hAnsi="Times New Roman" w:cs="Times New Roman"/>
          <w:sz w:val="24"/>
          <w:szCs w:val="24"/>
        </w:rPr>
        <w:t xml:space="preserve"> and DF. In spring 2020, we observed a main </w:t>
      </w:r>
      <w:r w:rsidRPr="005F10F5">
        <w:rPr>
          <w:rFonts w:ascii="Times New Roman" w:hAnsi="Times New Roman" w:cs="Times New Roman"/>
          <w:sz w:val="24"/>
          <w:szCs w:val="24"/>
        </w:rPr>
        <w:t xml:space="preserve">shift in the </w:t>
      </w:r>
      <w:r>
        <w:rPr>
          <w:rFonts w:ascii="Times New Roman" w:hAnsi="Times New Roman" w:cs="Times New Roman"/>
          <w:sz w:val="24"/>
          <w:szCs w:val="24"/>
        </w:rPr>
        <w:t>distribution</w:t>
      </w:r>
      <w:r w:rsidRPr="005F10F5">
        <w:rPr>
          <w:rFonts w:ascii="Times New Roman" w:hAnsi="Times New Roman" w:cs="Times New Roman"/>
          <w:sz w:val="24"/>
          <w:szCs w:val="24"/>
        </w:rPr>
        <w:t xml:space="preserve"> of the diffuse fraction, from 0.67 to 0.59</w:t>
      </w:r>
      <w:r>
        <w:rPr>
          <w:rFonts w:ascii="Times New Roman" w:hAnsi="Times New Roman" w:cs="Times New Roman"/>
          <w:sz w:val="24"/>
          <w:szCs w:val="24"/>
        </w:rPr>
        <w:t xml:space="preserve"> for the peak value (Fig. 3j). However, this change</w:t>
      </w:r>
      <w:r w:rsidRPr="005F10F5">
        <w:rPr>
          <w:rFonts w:ascii="Times New Roman" w:hAnsi="Times New Roman" w:cs="Times New Roman"/>
          <w:sz w:val="24"/>
          <w:szCs w:val="24"/>
        </w:rPr>
        <w:t xml:space="preserve"> is beyond the range where the change in diffuse fraction has a fertilizing effect on GPP</w:t>
      </w:r>
      <w:r>
        <w:rPr>
          <w:rFonts w:ascii="Times New Roman" w:hAnsi="Times New Roman" w:cs="Times New Roman"/>
          <w:sz w:val="24"/>
          <w:szCs w:val="24"/>
        </w:rPr>
        <w:t>, which is typically below 0.45 according to previous studies</w:t>
      </w:r>
      <w:r w:rsidRPr="005F10F5">
        <w:rPr>
          <w:rFonts w:ascii="Times New Roman" w:hAnsi="Times New Roman" w:cs="Times New Roman"/>
          <w:sz w:val="24"/>
          <w:szCs w:val="24"/>
        </w:rPr>
        <w:t xml:space="preserve"> (Ezhova et al., 2018; Knohl &amp; Baldocchi, 2008; Park et al., 2018).</w:t>
      </w:r>
      <w:r>
        <w:rPr>
          <w:rFonts w:ascii="Times New Roman" w:hAnsi="Times New Roman" w:cs="Times New Roman"/>
          <w:sz w:val="24"/>
          <w:szCs w:val="24"/>
        </w:rPr>
        <w:t xml:space="preserve"> Meanwhile, </w:t>
      </w:r>
      <w:r w:rsidRPr="00136D95">
        <w:rPr>
          <w:rFonts w:ascii="Times New Roman" w:hAnsi="Times New Roman" w:cs="Times New Roman"/>
          <w:sz w:val="24"/>
          <w:szCs w:val="24"/>
        </w:rPr>
        <w:t>T</w:t>
      </w:r>
      <w:r w:rsidRPr="00136D95">
        <w:rPr>
          <w:rFonts w:ascii="Times New Roman" w:hAnsi="Times New Roman" w:cs="Times New Roman"/>
          <w:sz w:val="24"/>
          <w:szCs w:val="24"/>
          <w:vertAlign w:val="subscript"/>
        </w:rPr>
        <w:t>a</w:t>
      </w:r>
      <w:r>
        <w:rPr>
          <w:rFonts w:ascii="Times New Roman" w:hAnsi="Times New Roman" w:cs="Times New Roman"/>
          <w:sz w:val="24"/>
          <w:szCs w:val="24"/>
        </w:rPr>
        <w:t xml:space="preserve"> remained almost unchanged from previous springs, and is therefore unlikely to have contributed strongly to the GPP anomaly. </w:t>
      </w:r>
    </w:p>
    <w:p w14:paraId="76792875" w14:textId="77777777" w:rsidR="00103AF5" w:rsidRDefault="00103AF5" w:rsidP="00103AF5">
      <w:pPr>
        <w:snapToGri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There remains debate as to the</w:t>
      </w:r>
      <w:r w:rsidRPr="008A317F">
        <w:rPr>
          <w:rFonts w:ascii="Times New Roman" w:hAnsi="Times New Roman" w:cs="Times New Roman"/>
          <w:sz w:val="24"/>
          <w:szCs w:val="24"/>
        </w:rPr>
        <w:t xml:space="preserve"> extent to which the radiation anomalies</w:t>
      </w:r>
      <w:r>
        <w:rPr>
          <w:rFonts w:ascii="Times New Roman" w:hAnsi="Times New Roman" w:cs="Times New Roman"/>
          <w:sz w:val="24"/>
          <w:szCs w:val="24"/>
        </w:rPr>
        <w:t xml:space="preserve"> should</w:t>
      </w:r>
      <w:r w:rsidRPr="008A317F">
        <w:rPr>
          <w:rFonts w:ascii="Times New Roman" w:hAnsi="Times New Roman" w:cs="Times New Roman"/>
          <w:sz w:val="24"/>
          <w:szCs w:val="24"/>
        </w:rPr>
        <w:t xml:space="preserve"> be attributed to changes in aerosol optical d</w:t>
      </w:r>
      <w:r>
        <w:rPr>
          <w:rFonts w:ascii="Times New Roman" w:hAnsi="Times New Roman" w:cs="Times New Roman"/>
          <w:sz w:val="24"/>
          <w:szCs w:val="24"/>
        </w:rPr>
        <w:t>e</w:t>
      </w:r>
      <w:r w:rsidRPr="008A317F">
        <w:rPr>
          <w:rFonts w:ascii="Times New Roman" w:hAnsi="Times New Roman" w:cs="Times New Roman"/>
          <w:sz w:val="24"/>
          <w:szCs w:val="24"/>
        </w:rPr>
        <w:t>pth (i.e. COVID-19 induced changes in anthropogenic pollutant emissions) or the cloudiness</w:t>
      </w:r>
      <w:r>
        <w:rPr>
          <w:rFonts w:ascii="Times New Roman" w:hAnsi="Times New Roman" w:cs="Times New Roman"/>
          <w:sz w:val="24"/>
          <w:szCs w:val="24"/>
        </w:rPr>
        <w:t xml:space="preserve">. The two factors interact in complex ways since cloud condensation nuclei originate from small (sub-micron) aerosols. A recent study by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{"citationItems":[{"id":"ITEM-1","itemData":{"DOI":"10.1175/BAMS-D-21-0012.1","ISSN":"15200477","abstract":"During spring 2020, the COVID-19 pandemic caused massive reductions in emissions from industry and ground and airborne transportation. To explore the resulting atmospheric composition changes, we conducted the BLUESKY campaign with two research aircraft and measured trace gases, aerosols, and cloud properties from the boundary layer to the lower stratosphere. From 16 May to 9 June 2020, we performed 20 flights in the early COVID-19 lockdown phase over Europe and the Atlantic Ocean. We found up to 50% reductions in boundary layer nitrogen dioxide concentrations in urban areas from GOME-2B satellite data, along with carbon monoxide reductions in the pollution hot spots. We measured 20%-70% reductions in total reactive nitrogen, carbon monoxide, and fine mode aerosol concentration in profiles over German cities compared to a 10-yr dataset from passenger aircraft. The total aerosol mass was significantly reduced below 5 km altitude, and the organic aerosol fraction also aloft, indicative of decreased organic precursor gas emissions. The reduced aerosol optical thickness caused a perceptible shift in sky color toward the blue part of the spectrum (hence BLUESKY) and increased shortwave radiation at the surface. We find that the 80% decline in air traffic led to substantial reductions in nitrogen oxides at cruise altitudes, in contrail cover, and in resulting radiative forcing. The light extinction and depolarization by cirrus were also reduced in regions with substantially decreased air traffic. General circulation-chemistry model simulations indicate good agreement with the measurements when applying a reduced emission scenario. The comprehensive BLUESKY dataset documents the major impact of anthropogenic emissions on the atmospheric composition.","author":[{"dropping-particle":"","family":"Voigt","given":"Christiane","non-dropping-particle":"","parse-names":false,"suffix":""},{"dropping-particle":"","family":"Lelieveld","given":"Jos","non-dropping-particle":"","parse-names":false,"suffix":""},{"dropping-particle":"","family":"Schlager","given":"Hans","non-dropping-particle":"","parse-names":false,"suffix":""},{"dropping-particle":"","family":"Schneider","given":"Johannes","non-dropping-particle":"","parse-names":false,"suffix":""},{"dropping-particle":"","family":"Curtius","given":"Joachim","non-dropping-particle":"","parse-names":false,"suffix":""},{"dropping-particle":"","family":"Meerkötter","given":"Ralf","non-dropping-particle":"","parse-names":false,"suffix":""},{"dropping-particle":"","family":"Sauer","given":"Daniel","non-dropping-particle":"","parse-names":false,"suffix":""},{"dropping-particle":"","family":"Bugliaro","given":"Luca","non-dropping-particle":"","parse-names":false,"suffix":""},{"dropping-particle":"","family":"Bohn","given":"Birger","non-dropping-particle":"","parse-names":false,"suffix":""},{"dropping-particle":"","family":"Crowley","given":"John N.","non-dropping-particle":"","parse-names":false,"suffix":""},{"dropping-particle":"","family":"Erbertseder","given":"Thilo","non-dropping-particle":"","parse-names":false,"suffix":""},{"dropping-particle":"","family":"Groß","given":"Silke","non-dropping-particle":"","parse-names":false,"suffix":""},{"dropping-particle":"","family":"Hahn","given":"Valerian","non-dropping-particle":"","parse-names":false,"suffix":""},{"dropping-particle":"","family":"Li","given":"Qiang","non-dropping-particle":"","parse-names":false,"suffix":""},{"dropping-particle":"","family":"Mertens","given":"Mariano","non-dropping-particle":"","parse-names":false,"suffix":""},{"dropping-particle":"","family":"Pöhlker","given":"Mira L.","non-dropping-particle":"","parse-names":false,"suffix":""},{"dropping-particle":"","family":"Pozzer","given":"Andrea","non-dropping-particle":"","parse-names":false,"suffix":""},{"dropping-particle":"","family":"Schumann","given":"Ulrich","non-dropping-particle":"","parse-names":false,"suffix":""},{"dropping-particle":"","family":"Tomsche","given":"Laura","non-dropping-particle":"","parse-names":false,"suffix":""},{"dropping-particle":"","family":"Williams","given":"Jonathan","non-dropping-particle":"","parse-names":false,"suffix":""},{"dropping-particle":"","family":"Zahn","given":"Andreas","non-dropping-particle":"","parse-names":false,"suffix":""},{"dropping-particle":"","family":"Andreae","given":"Meinrat","non-dropping-particle":"","parse-names":false,"suffix":""},{"dropping-particle":"","family":"Borrmann","given":"Stephan","non-dropping-particle":"","parse-names":false,"suffix":""},{"dropping-particle":"","family":"Bräuer","given":"Tiziana","non-dropping-particle":"","parse-names":false,"suffix":""},{"dropping-particle":"","family":"Dörich","given":"Raphael","non-dropping-particle":"","parse-names":false,"suffix":""},{"dropping-particle":"","family":"Dörnbrack","given":"Andreas","non-dropping-particle":"","parse-names":false,"suffix":""},{"dropping-particle":"","family":"Edtbauer","given":"Achim","non-dropping-particle":"","parse-names":false,"suffix":""},{"dropping-particle":"","family":"Ernle","given":"Lisa","non-dropping-particle":"","parse-names":false,"suffix":""},{"dropping-particle":"","family":"Fischer","given":"Horst","non-dropping-particle":"","parse-names":false,"suffix":""},{"dropping-particle":"","family":"Giez","given":"Andreas","non-dropping-particle":"","parse-names":false,"suffix":""},{"dropping-particle":"","family":"Granzin","given":"Manuel","non-dropping-particle":"","parse-names":false,"suffix":""},{"dropping-particle":"","family":"Grewe","given":"Volker","non-dropping-particle":"","parse-names":false,"suffix":""},{"dropping-particle":"","family":"Harder","given":"Hartwig","non-dropping-particle":"","parse-names":false,"suffix":""},{"dropping-particle":"","family":"Heinritzi","given":"Martin","non-dropping-particle":"","parse-names":false,"suffix":""},{"dropping-particle":"","family":"Holanda","given":"Bruna A.","non-dropping-particle":"","parse-names":false,"suffix":""},{"dropping-particle":"","family":"Jöckel","given":"Patrick","non-dropping-particle":"","parse-names":false,"suffix":""},{"dropping-particle":"","family":"Kaiser","given":"Katharina","non-dropping-particle":"","parse-names":false,"suffix":""},{"dropping-particle":"","family":"Krüger","given":"Ovid O.","non-dropping-particle":"","parse-names":false,"suffix":""},{"dropping-particle":"","family":"Lucke","given":"Johannes","non-dropping-particle":"","parse-names":false,"suffix":""},{"dropping-particle":"","family":"Marsing","given":"Andreas","non-dropping-particle":"","parse-names":false,"suffix":""},{"dropping-particle":"","family":"Martin","given":"Anna","non-dropping-particle":"","parse-names":false,"suffix":""},{"dropping-particle":"","family":"Matthes","given":"Sigrun","non-dropping-particle":"","parse-names":false,"suffix":""},{"dropping-particle":"","family":"Pöhlker","given":"Christopher","non-dropping-particle":"","parse-names":false,"suffix":""},{"dropping-particle":"","family":"Pöschl","given":"Ulrich","non-dropping-particle":"","parse-names":false,"suffix":""},{"dropping-particle":"","family":"Reifenberg","given":"Simon","non-dropping-particle":"","parse-names":false,"suffix":""},{"dropping-particle":"","family":"Ringsdorf","given":"Akima","non-dropping-particle":"","parse-names":false,"suffix":""},{"dropping-particle":"","family":"Scheibe","given":"Monika","non-dropping-particle":"","parse-names":false,"suffix":""},{"dropping-particle":"","family":"Tadic","given":"Ivan","non-dropping-particle":"","parse-names":false,"suffix":""},{"dropping-particle":"","family":"Zauner-Wieczorek","given":"Marcel","non-dropping-particle":"","parse-names":false,"suffix":""},{"dropping-particle":"","family":"Henke","given":"Rolf","non-dropping-particle":"","parse-names":false,"suffix":""},{"dropping-particle":"","family":"Rapp","given":"Markus","non-dropping-particle":"","parse-names":false,"suffix":""}],"container-title":"Bulletin of the American Meteorological Society","id":"ITEM-1","issue":"8","issued":{"date-parts":[["2022"]]},"page":"E1796-E1827","title":"Cleaner Skies during the COVID-19 Lockdown","type":"article-journal","volume":"103"},"uris":["http://www.mendeley.com/documents/?uuid=561377ae-a367-449f-8d9b-52df69d0f652"]}],"mendeley":{"formattedCitation":"(Voigt et al., 2022)","manualFormatting":"Voigt et al. (2022)","plainTextFormattedCitation":"(Voigt et al., 2022)","previouslyFormattedCitation":"(Voigt et al., 2022)"},"properties":{"noteIndex":0},"schema":"https://github.com/citation-style-language/schema/raw/master/csl-citation.json"}</w:instrText>
      </w:r>
      <w:r>
        <w:rPr>
          <w:rFonts w:ascii="Times New Roman" w:hAnsi="Times New Roman" w:cs="Times New Roman"/>
          <w:sz w:val="24"/>
          <w:szCs w:val="24"/>
        </w:rPr>
        <w:fldChar w:fldCharType="separate"/>
      </w:r>
      <w:r w:rsidRPr="001F60FC">
        <w:rPr>
          <w:rFonts w:ascii="Times New Roman" w:hAnsi="Times New Roman" w:cs="Times New Roman"/>
          <w:noProof/>
          <w:sz w:val="24"/>
          <w:szCs w:val="24"/>
        </w:rPr>
        <w:t xml:space="preserve">Voigt et al. </w:t>
      </w:r>
      <w:r>
        <w:rPr>
          <w:rFonts w:ascii="Times New Roman" w:hAnsi="Times New Roman" w:cs="Times New Roman"/>
          <w:noProof/>
          <w:sz w:val="24"/>
          <w:szCs w:val="24"/>
        </w:rPr>
        <w:t>(</w:t>
      </w:r>
      <w:r w:rsidRPr="001F60FC">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w:t>
      </w:r>
      <w:r>
        <w:rPr>
          <w:rFonts w:ascii="Times New Roman" w:hAnsi="Times New Roman" w:cs="Times New Roman"/>
          <w:sz w:val="24"/>
          <w:szCs w:val="24"/>
          <w:lang w:val="en-US"/>
        </w:rPr>
        <w:t>the lower aerosol optical thickness during the lockdown led to increased SW</w:t>
      </w:r>
      <w:r w:rsidRPr="00942504">
        <w:rPr>
          <w:rFonts w:ascii="Times New Roman" w:hAnsi="Times New Roman" w:cs="Times New Roman"/>
          <w:sz w:val="24"/>
          <w:szCs w:val="24"/>
          <w:vertAlign w:val="subscript"/>
          <w:lang w:val="en-US"/>
        </w:rPr>
        <w:t xml:space="preserve">in </w:t>
      </w:r>
      <w:r>
        <w:rPr>
          <w:rFonts w:ascii="Times New Roman" w:hAnsi="Times New Roman" w:cs="Times New Roman"/>
          <w:sz w:val="24"/>
          <w:szCs w:val="24"/>
          <w:lang w:val="en-US"/>
        </w:rPr>
        <w:t xml:space="preserve">over Europe. </w:t>
      </w:r>
      <w:r w:rsidRPr="004F3E51">
        <w:rPr>
          <w:rFonts w:ascii="Times New Roman" w:hAnsi="Times New Roman" w:cs="Times New Roman"/>
          <w:sz w:val="24"/>
          <w:szCs w:val="24"/>
        </w:rPr>
        <w:t xml:space="preserve">The clear sky irradiance anomalies </w:t>
      </w:r>
      <w:r>
        <w:rPr>
          <w:rFonts w:ascii="Times New Roman" w:hAnsi="Times New Roman" w:cs="Times New Roman"/>
          <w:sz w:val="24"/>
          <w:szCs w:val="24"/>
        </w:rPr>
        <w:t xml:space="preserve">observed in </w:t>
      </w:r>
      <w:r w:rsidRPr="004F3E51">
        <w:rPr>
          <w:rFonts w:ascii="Times New Roman" w:hAnsi="Times New Roman" w:cs="Times New Roman"/>
          <w:sz w:val="24"/>
          <w:szCs w:val="24"/>
        </w:rPr>
        <w:t xml:space="preserve">2020 anomalies (Fig. </w:t>
      </w:r>
      <w:r>
        <w:rPr>
          <w:rFonts w:ascii="Times New Roman" w:hAnsi="Times New Roman" w:cs="Times New Roman"/>
          <w:sz w:val="24"/>
          <w:szCs w:val="24"/>
        </w:rPr>
        <w:t>3m-</w:t>
      </w:r>
      <w:r w:rsidRPr="004F3E51">
        <w:rPr>
          <w:rFonts w:ascii="Times New Roman" w:hAnsi="Times New Roman" w:cs="Times New Roman"/>
          <w:sz w:val="24"/>
          <w:szCs w:val="24"/>
        </w:rPr>
        <w:t xml:space="preserve">o) </w:t>
      </w:r>
      <w:r>
        <w:rPr>
          <w:rFonts w:ascii="Times New Roman" w:hAnsi="Times New Roman" w:cs="Times New Roman"/>
          <w:sz w:val="24"/>
          <w:szCs w:val="24"/>
        </w:rPr>
        <w:t xml:space="preserve">suggest a </w:t>
      </w:r>
      <w:r w:rsidRPr="004F3E51">
        <w:rPr>
          <w:rFonts w:ascii="Times New Roman" w:hAnsi="Times New Roman" w:cs="Times New Roman"/>
          <w:sz w:val="24"/>
          <w:szCs w:val="24"/>
        </w:rPr>
        <w:t>decline in aerosol optical depth in spring 2020</w:t>
      </w:r>
      <w:r>
        <w:rPr>
          <w:rFonts w:ascii="Times New Roman" w:hAnsi="Times New Roman" w:cs="Times New Roman"/>
          <w:sz w:val="24"/>
          <w:szCs w:val="24"/>
        </w:rPr>
        <w:t xml:space="preserve">, but the impact </w:t>
      </w:r>
      <w:r w:rsidRPr="004F3E51">
        <w:rPr>
          <w:rFonts w:ascii="Times New Roman" w:hAnsi="Times New Roman" w:cs="Times New Roman"/>
          <w:sz w:val="24"/>
          <w:szCs w:val="24"/>
        </w:rPr>
        <w:t>of aerosol concentration on the diffuse fraction of incoming radiation was hardly d</w:t>
      </w:r>
      <w:r>
        <w:rPr>
          <w:rFonts w:ascii="Times New Roman" w:hAnsi="Times New Roman" w:cs="Times New Roman"/>
          <w:sz w:val="24"/>
          <w:szCs w:val="24"/>
        </w:rPr>
        <w:t>istinguishable</w:t>
      </w:r>
      <w:r w:rsidRPr="004F3E51">
        <w:rPr>
          <w:rFonts w:ascii="Times New Roman" w:hAnsi="Times New Roman" w:cs="Times New Roman"/>
          <w:sz w:val="24"/>
          <w:szCs w:val="24"/>
        </w:rPr>
        <w:t xml:space="preserve"> from </w:t>
      </w:r>
      <w:r>
        <w:rPr>
          <w:rFonts w:ascii="Times New Roman" w:hAnsi="Times New Roman" w:cs="Times New Roman"/>
          <w:sz w:val="24"/>
          <w:szCs w:val="24"/>
        </w:rPr>
        <w:t xml:space="preserve">changes </w:t>
      </w:r>
      <w:r w:rsidRPr="004F3E51">
        <w:rPr>
          <w:rFonts w:ascii="Times New Roman" w:hAnsi="Times New Roman" w:cs="Times New Roman"/>
          <w:sz w:val="24"/>
          <w:szCs w:val="24"/>
        </w:rPr>
        <w:t>in cloud fraction</w:t>
      </w:r>
      <w:r>
        <w:rPr>
          <w:rFonts w:ascii="Times New Roman" w:hAnsi="Times New Roman" w:cs="Times New Roman"/>
          <w:sz w:val="24"/>
          <w:szCs w:val="24"/>
        </w:rPr>
        <w:t xml:space="preserve"> due to lower atmospheric humidity (Fig. 3b)</w:t>
      </w:r>
      <w:r w:rsidRPr="004F3E51">
        <w:rPr>
          <w:rFonts w:ascii="Times New Roman" w:hAnsi="Times New Roman" w:cs="Times New Roman"/>
          <w:sz w:val="24"/>
          <w:szCs w:val="24"/>
        </w:rPr>
        <w:t>.</w:t>
      </w:r>
      <w:r>
        <w:rPr>
          <w:rFonts w:ascii="Times New Roman" w:hAnsi="Times New Roman" w:cs="Times New Roman"/>
          <w:sz w:val="24"/>
          <w:szCs w:val="24"/>
        </w:rPr>
        <w:t xml:space="preserve"> A combined analysis of ground-based and </w:t>
      </w:r>
      <w:r w:rsidRPr="004F3E51">
        <w:rPr>
          <w:rFonts w:ascii="Times New Roman" w:hAnsi="Times New Roman" w:cs="Times New Roman"/>
          <w:sz w:val="24"/>
          <w:szCs w:val="24"/>
        </w:rPr>
        <w:t xml:space="preserve">satellite </w:t>
      </w:r>
      <w:r>
        <w:rPr>
          <w:rFonts w:ascii="Times New Roman" w:hAnsi="Times New Roman" w:cs="Times New Roman"/>
          <w:sz w:val="24"/>
          <w:szCs w:val="24"/>
        </w:rPr>
        <w:t xml:space="preserve">observations supports the </w:t>
      </w:r>
      <w:r w:rsidRPr="004F3E51">
        <w:rPr>
          <w:rFonts w:ascii="Times New Roman" w:hAnsi="Times New Roman" w:cs="Times New Roman"/>
          <w:sz w:val="24"/>
          <w:szCs w:val="24"/>
        </w:rPr>
        <w:t>hypothesis</w:t>
      </w:r>
      <w:r>
        <w:rPr>
          <w:rFonts w:ascii="Times New Roman" w:hAnsi="Times New Roman" w:cs="Times New Roman"/>
          <w:sz w:val="24"/>
          <w:szCs w:val="24"/>
        </w:rPr>
        <w:t xml:space="preserve"> that the observed irradiance enhancement was largely due to changes in cloud fraction in Western </w:t>
      </w:r>
      <w:r>
        <w:rPr>
          <w:rFonts w:ascii="Times New Roman" w:hAnsi="Times New Roman" w:cs="Times New Roman"/>
          <w:sz w:val="24"/>
          <w:szCs w:val="24"/>
        </w:rPr>
        <w:lastRenderedPageBreak/>
        <w:t>Europe</w:t>
      </w:r>
      <w:r w:rsidRPr="004F3E51">
        <w:rPr>
          <w:rFonts w:ascii="Times New Roman" w:hAnsi="Times New Roman" w:cs="Times New Roman"/>
          <w:sz w:val="24"/>
          <w:szCs w:val="24"/>
        </w:rPr>
        <w:t xml:space="preserve">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{"citationItems":[{"id":"ITEM-1","itemData":{"DOI":"10.1038/s43247-021-00110-0","ISSN":"2662-4435","abstract":" Spring 2020 broke sunshine duration records across Western Europe. The Netherlands recorded the highest surface irradiance since 1928, exceeding the previous extreme of 2011 by 13%, and the diffuse fraction of the irradiance measured a record low percentage (38%). The coinciding irradiance extreme and a reduction in anthropogenic pollution due to COVID-19 measures triggered the hypothesis that cleaner-than-usual air contributed to the record. Based on analyses of ground-based and satellite observations and experiments with a radiative transfer model, we estimate a 1.3% (2.3 W m −2 ) increase in surface irradiance with respect to the 2010–2019 mean due to a low median aerosol optical depth, and a 17.6% (30.7 W m −2 ) increase due to several exceptionally dry days and a very low cloud fraction overall. Our analyses show that the reduced aerosols and contrails due to the COVID-19 measures are far less important in the irradiance record than the dry and particularly cloud-free weather. ","author":[{"dropping-particle":"","family":"Heerwaarden","given":"Chiel C.","non-dropping-particle":"van","parse-names":false,"suffix":""},{"dropping-particle":"","family":"Mol","given":"Wouter B.","non-dropping-particle":"","parse-names":false,"suffix":""},{"dropping-particle":"","family":"Veerman","given":"Menno A.","non-dropping-particle":"","parse-names":false,"suffix":""},{"dropping-particle":"","family":"Benedict","given":"Imme","non-dropping-particle":"","parse-names":false,"suffix":""},{"dropping-particle":"","family":"Heusinkveld","given":"Bert G.","non-dropping-particle":"","parse-names":false,"suffix":""},{"dropping-particle":"","family":"Knap","given":"Wouter H.","non-dropping-particle":"","parse-names":false,"suffix":""},{"dropping-particle":"","family":"Kazadzis","given":"Stelios","non-dropping-particle":"","parse-names":false,"suffix":""},{"dropping-particle":"","family":"Kouremeti","given":"Natalia","non-dropping-particle":"","parse-names":false,"suffix":""},{"dropping-particle":"","family":"Fiedler","given":"Stephanie","non-dropping-particle":"","parse-names":false,"suffix":""}],"container-title":"Communications Earth &amp; Environment","id":"ITEM-1","issue":"1","issued":{"date-parts":[["2021"]]},"page":"1-7","publisher":"Springer US","title":"Record high solar irradiance in Western Europe during first COVID-19 lockdown largely due to unusual weather","type":"article-journal","volume":"2"},"uris":["http://www.mendeley.com/documents/?uuid=3e12e1fb-de2e-4754-8b8d-4868dc826e34"]}],"mendeley":{"formattedCitation":"(van Heerwaarden et al., 2021)","plainTextFormattedCitation":"(van Heerwaarden et al., 2021)","previouslyFormattedCitation":"(van Heerwaarden et al., 2021)"},"properties":{"noteIndex":0},"schema":"https://github.com/citation-style-language/schema/raw/master/csl-citation.json"}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(van Heerwaarden et al., 2021)</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xml:space="preserve">. </w:t>
      </w:r>
      <w:r>
        <w:rPr>
          <w:rFonts w:ascii="Times New Roman" w:hAnsi="Times New Roman" w:cs="Times New Roman"/>
          <w:sz w:val="24"/>
          <w:szCs w:val="24"/>
        </w:rPr>
        <w:t>G</w:t>
      </w:r>
      <w:r w:rsidRPr="004F3E51">
        <w:rPr>
          <w:rFonts w:ascii="Times New Roman" w:hAnsi="Times New Roman" w:cs="Times New Roman"/>
          <w:sz w:val="24"/>
          <w:szCs w:val="24"/>
        </w:rPr>
        <w:t>round observation</w:t>
      </w:r>
      <w:r>
        <w:rPr>
          <w:rFonts w:ascii="Times New Roman" w:hAnsi="Times New Roman" w:cs="Times New Roman"/>
          <w:sz w:val="24"/>
          <w:szCs w:val="24"/>
        </w:rPr>
        <w:t>s indicated</w:t>
      </w:r>
      <w:r w:rsidRPr="004F3E51">
        <w:rPr>
          <w:rFonts w:ascii="Times New Roman" w:hAnsi="Times New Roman" w:cs="Times New Roman"/>
          <w:sz w:val="24"/>
          <w:szCs w:val="24"/>
        </w:rPr>
        <w:t xml:space="preserve"> that cloudiness and aerosol optical depth were both exceptionally low in spring 2020 over Europe.</w:t>
      </w:r>
    </w:p>
    <w:p w14:paraId="2112173A" w14:textId="77777777" w:rsidR="00103AF5" w:rsidRDefault="00103AF5" w:rsidP="00103AF5">
      <w:pPr>
        <w:snapToGrid w:val="0"/>
        <w:spacing w:after="0" w:line="480" w:lineRule="auto"/>
        <w:ind w:firstLine="720"/>
        <w:rPr>
          <w:rFonts w:ascii="Times New Roman" w:hAnsi="Times New Roman" w:cs="Times New Roman"/>
          <w:sz w:val="24"/>
          <w:szCs w:val="24"/>
        </w:rPr>
      </w:pPr>
    </w:p>
    <w:p w14:paraId="4E11D653" w14:textId="77777777" w:rsidR="00103AF5" w:rsidRPr="00942504" w:rsidRDefault="00103AF5" w:rsidP="00103AF5">
      <w:pPr>
        <w:snapToGrid w:val="0"/>
        <w:spacing w:after="0" w:line="480" w:lineRule="auto"/>
        <w:rPr>
          <w:rFonts w:ascii="Times New Roman" w:hAnsi="Times New Roman" w:cs="Times New Roman"/>
          <w:b/>
          <w:bCs/>
          <w:sz w:val="24"/>
          <w:szCs w:val="24"/>
        </w:rPr>
      </w:pPr>
      <w:r w:rsidRPr="00942504">
        <w:rPr>
          <w:rFonts w:ascii="Times New Roman" w:hAnsi="Times New Roman" w:cs="Times New Roman"/>
          <w:b/>
          <w:bCs/>
          <w:sz w:val="24"/>
          <w:szCs w:val="24"/>
        </w:rPr>
        <w:t xml:space="preserve">4.3 </w:t>
      </w:r>
      <w:r>
        <w:rPr>
          <w:rFonts w:ascii="Times New Roman" w:hAnsi="Times New Roman" w:cs="Times New Roman"/>
          <w:b/>
          <w:bCs/>
          <w:sz w:val="24"/>
          <w:szCs w:val="24"/>
        </w:rPr>
        <w:t xml:space="preserve">Phytotoxic effects of </w:t>
      </w:r>
      <w:r w:rsidRPr="00942504">
        <w:rPr>
          <w:rFonts w:ascii="Times New Roman" w:hAnsi="Times New Roman" w:cs="Times New Roman"/>
          <w:b/>
          <w:bCs/>
          <w:sz w:val="24"/>
          <w:szCs w:val="24"/>
        </w:rPr>
        <w:t>a</w:t>
      </w:r>
      <w:r>
        <w:rPr>
          <w:rFonts w:ascii="Times New Roman" w:hAnsi="Times New Roman" w:cs="Times New Roman"/>
          <w:b/>
          <w:bCs/>
          <w:sz w:val="24"/>
          <w:szCs w:val="24"/>
        </w:rPr>
        <w:t>tmospheric</w:t>
      </w:r>
      <w:r w:rsidRPr="00942504">
        <w:rPr>
          <w:rFonts w:ascii="Times New Roman" w:hAnsi="Times New Roman" w:cs="Times New Roman"/>
          <w:b/>
          <w:bCs/>
          <w:sz w:val="24"/>
          <w:szCs w:val="24"/>
        </w:rPr>
        <w:t xml:space="preserve"> pollutants on GPP</w:t>
      </w:r>
    </w:p>
    <w:p w14:paraId="1D580838" w14:textId="77777777" w:rsidR="00103AF5" w:rsidRDefault="00103AF5" w:rsidP="00103AF5">
      <w:pPr>
        <w:snapToGrid w:val="0"/>
        <w:spacing w:after="0" w:line="480" w:lineRule="auto"/>
        <w:rPr>
          <w:rFonts w:ascii="Times New Roman" w:hAnsi="Times New Roman" w:cs="Times New Roman"/>
          <w:sz w:val="24"/>
          <w:szCs w:val="24"/>
        </w:rPr>
      </w:pPr>
      <w:r>
        <w:rPr>
          <w:rFonts w:ascii="Times New Roman" w:hAnsi="Times New Roman" w:cs="Times New Roman"/>
          <w:sz w:val="24"/>
          <w:szCs w:val="24"/>
        </w:rPr>
        <w:t>I</w:t>
      </w:r>
      <w:r w:rsidRPr="004F3E51">
        <w:rPr>
          <w:rFonts w:ascii="Times New Roman" w:hAnsi="Times New Roman" w:cs="Times New Roman"/>
          <w:sz w:val="24"/>
          <w:szCs w:val="24"/>
        </w:rPr>
        <w:t>n a typical year, O</w:t>
      </w:r>
      <w:r w:rsidRPr="004F3E51">
        <w:rPr>
          <w:rFonts w:ascii="Times New Roman" w:hAnsi="Times New Roman" w:cs="Times New Roman"/>
          <w:sz w:val="24"/>
          <w:szCs w:val="24"/>
          <w:vertAlign w:val="subscript"/>
        </w:rPr>
        <w:t>3</w:t>
      </w:r>
      <w:r w:rsidRPr="004F3E51">
        <w:rPr>
          <w:rFonts w:ascii="Times New Roman" w:hAnsi="Times New Roman" w:cs="Times New Roman"/>
          <w:sz w:val="24"/>
          <w:szCs w:val="24"/>
        </w:rPr>
        <w:t xml:space="preserve"> concentration</w:t>
      </w:r>
      <w:r>
        <w:rPr>
          <w:rFonts w:ascii="Times New Roman" w:hAnsi="Times New Roman" w:cs="Times New Roman"/>
          <w:sz w:val="24"/>
          <w:szCs w:val="24"/>
        </w:rPr>
        <w:t>s</w:t>
      </w:r>
      <w:r w:rsidRPr="004F3E51">
        <w:rPr>
          <w:rFonts w:ascii="Times New Roman" w:hAnsi="Times New Roman" w:cs="Times New Roman"/>
          <w:sz w:val="24"/>
          <w:szCs w:val="24"/>
        </w:rPr>
        <w:t xml:space="preserve"> in spring </w:t>
      </w:r>
      <w:r>
        <w:rPr>
          <w:rFonts w:ascii="Times New Roman" w:hAnsi="Times New Roman" w:cs="Times New Roman"/>
          <w:sz w:val="24"/>
          <w:szCs w:val="24"/>
        </w:rPr>
        <w:t xml:space="preserve">are usually too low (&lt; 50 ppb on average) </w:t>
      </w:r>
      <w:r w:rsidRPr="004F3E51">
        <w:rPr>
          <w:rFonts w:ascii="Times New Roman" w:hAnsi="Times New Roman" w:cs="Times New Roman"/>
          <w:sz w:val="24"/>
          <w:szCs w:val="24"/>
        </w:rPr>
        <w:t xml:space="preserve">to be </w:t>
      </w:r>
      <w:r>
        <w:rPr>
          <w:rFonts w:ascii="Times New Roman" w:hAnsi="Times New Roman" w:cs="Times New Roman"/>
          <w:sz w:val="24"/>
          <w:szCs w:val="24"/>
        </w:rPr>
        <w:t xml:space="preserve">acutely </w:t>
      </w:r>
      <w:r w:rsidRPr="004F3E51">
        <w:rPr>
          <w:rFonts w:ascii="Times New Roman" w:hAnsi="Times New Roman" w:cs="Times New Roman"/>
          <w:sz w:val="24"/>
          <w:szCs w:val="24"/>
        </w:rPr>
        <w:t>harmful to plants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{"citationItems":[{"id":"ITEM-1","itemData":{"DOI":"10.1111/gcb.12222","ISSN":"13541013","PMID":"23589473","abstract":"High ground-level ozone concentrations are typical of Mediterranean climates. Plant exposure to this oxidant is known to reduce carbon assimilation. Ozone damage has been traditionally measured through manipulative experiments that do not consider long-term exposure and propagate large uncertainty by up-scaling leaf-level observations to ecosystem-level interpretations. We analyzed long-term continuous measurements (&gt;9 site-years at 30 min resolution) of environmental and eco-physiological parameters at three Mediterranean ecosystems: (i) forest site dominated by Pinus ponderosa in the Sierra Mountains in California, USA; (ii) forest site composed of a mixture of Quercus spp. and P. pinea in the Tyrrhenian sea coast near Rome, Italy; and (iii) orchard site of Citrus sinensis cultivated in the California Central Valley, USA. We hypothesized that higher levels of ozone concentration in the atmosphere result in a decrease in carbon assimilation by trees under field conditions. This hypothesis was tested using time series analysis such as wavelet coherence and spectral Granger causality, and complemented with multivariate linear and nonlinear statistical analyses. We found that reduction in carbon assimilation was more related to stomatal ozone deposition than to ozone concentration. The negative effects of ozone occurred within a day of exposure/uptake. Decoupling between carbon assimilation and stomatal aperture increased with the amount of ozone pollution. Up to 12-19% of the carbon assimilation reduction in P. ponderosa and in the Citrus plantation was explained by higher stomatal ozone deposition. In contrast, the Italian site did not show reductions in gross primary productivity either by ozone concentration or stomatal ozone deposition, mainly due to the lower ozone concentrations in the periurban site over the shorter period of investigation. These results highlight the importance of plant adaptation/sensitivity under field conditions, and the importance of continuous long-term measurements to explain ozone damage to real-world forests and calculate metrics for ozone-risk assessment. © 2013 John Wiley &amp; Sons Ltd.","author":[{"dropping-particle":"","family":"Fares","given":"Silvano","non-dropping-particle":"","parse-names":false,"suffix":""},{"dropping-particle":"","family":"Vargas","given":"Rodrigo","non-dropping-particle":"","parse-names":false,"suffix":""},{"dropping-particle":"","family":"Detto","given":"Matteo","non-dropping-particle":"","parse-names":false,"suffix":""},{"dropping-particle":"","family":"Goldstein","given":"Allen H.","non-dropping-particle":"","parse-names":false,"suffix":""},{"dropping-particle":"","family":"Karlik","given":"John","non-dropping-particle":"","parse-names":false,"suffix":""},{"dropping-particle":"","family":"Paoletti","given":"Elena","non-dropping-particle":"","parse-names":false,"suffix":""},{"dropping-particle":"","family":"Vitale","given":"Marcello","non-dropping-particle":"","parse-names":false,"suffix":""}],"container-title":"Global Change Biology","id":"ITEM-1","issue":"8","issued":{"date-parts":[["2013"]]},"page":"2427-2443","title":"Tropospheric ozone reduces carbon assimilation in trees: Estimates from analysis of continuous flux measurements","type":"article-journal","volume":"19"},"uris":["http://www.mendeley.com/documents/?uuid=1ebcbc5d-fc1c-41cd-829b-87e6b4d6b3b8"]}],"mendeley":{"formattedCitation":"(Fares et al., 2013)","plainTextFormattedCitation":"(Fares et al., 2013)","previouslyFormattedCitation":"(Fares et al., 2013)"},"properties":{"noteIndex":0},"schema":"https://github.com/citation-style-language/schema/raw/master/csl-citation.json"}</w:instrText>
      </w:r>
      <w:r>
        <w:rPr>
          <w:rFonts w:ascii="Times New Roman" w:hAnsi="Times New Roman" w:cs="Times New Roman"/>
          <w:sz w:val="24"/>
          <w:szCs w:val="24"/>
        </w:rPr>
        <w:fldChar w:fldCharType="separate"/>
      </w:r>
      <w:r w:rsidRPr="00B824B6">
        <w:rPr>
          <w:rFonts w:ascii="Times New Roman" w:hAnsi="Times New Roman" w:cs="Times New Roman"/>
          <w:noProof/>
          <w:sz w:val="24"/>
          <w:szCs w:val="24"/>
        </w:rPr>
        <w:t>(Fares et al., 2013)</w:t>
      </w:r>
      <w:r>
        <w:rPr>
          <w:rFonts w:ascii="Times New Roman" w:hAnsi="Times New Roman" w:cs="Times New Roman"/>
          <w:sz w:val="24"/>
          <w:szCs w:val="24"/>
        </w:rPr>
        <w:fldChar w:fldCharType="end"/>
      </w:r>
      <w:r w:rsidRPr="004F3E51">
        <w:rPr>
          <w:rFonts w:ascii="Times New Roman" w:hAnsi="Times New Roman" w:cs="Times New Roman"/>
          <w:sz w:val="24"/>
          <w:szCs w:val="24"/>
        </w:rPr>
        <w:t xml:space="preserve">, </w:t>
      </w:r>
      <w:r>
        <w:rPr>
          <w:rFonts w:ascii="Times New Roman" w:hAnsi="Times New Roman" w:cs="Times New Roman"/>
          <w:sz w:val="24"/>
          <w:szCs w:val="24"/>
        </w:rPr>
        <w:t>particularly</w:t>
      </w:r>
      <w:r w:rsidRPr="004F3E51">
        <w:rPr>
          <w:rFonts w:ascii="Times New Roman" w:hAnsi="Times New Roman" w:cs="Times New Roman"/>
          <w:sz w:val="24"/>
          <w:szCs w:val="24"/>
        </w:rPr>
        <w:t xml:space="preserve"> for central-northern </w:t>
      </w:r>
      <w:r>
        <w:rPr>
          <w:rFonts w:ascii="Times New Roman" w:hAnsi="Times New Roman" w:cs="Times New Roman"/>
          <w:sz w:val="24"/>
          <w:szCs w:val="24"/>
        </w:rPr>
        <w:t xml:space="preserve">European </w:t>
      </w:r>
      <w:r w:rsidRPr="004F3E51">
        <w:rPr>
          <w:rFonts w:ascii="Times New Roman" w:hAnsi="Times New Roman" w:cs="Times New Roman"/>
          <w:sz w:val="24"/>
          <w:szCs w:val="24"/>
        </w:rPr>
        <w:t>ecosystems when the plants are still dormant</w:t>
      </w:r>
      <w:r>
        <w:rPr>
          <w:rFonts w:ascii="Times New Roman" w:hAnsi="Times New Roman" w:cs="Times New Roman"/>
          <w:sz w:val="24"/>
          <w:szCs w:val="24"/>
        </w:rPr>
        <w:t xml:space="preserve"> and stomatal uptake is not possible</w:t>
      </w:r>
      <w:r w:rsidRPr="004F3E51">
        <w:rPr>
          <w:rFonts w:ascii="Times New Roman" w:hAnsi="Times New Roman" w:cs="Times New Roman"/>
          <w:sz w:val="24"/>
          <w:szCs w:val="24"/>
        </w:rPr>
        <w:t xml:space="preserve">. </w:t>
      </w:r>
      <w:r>
        <w:rPr>
          <w:rFonts w:ascii="Times New Roman" w:hAnsi="Times New Roman" w:cs="Times New Roman"/>
          <w:sz w:val="24"/>
          <w:szCs w:val="24"/>
        </w:rPr>
        <w:t>T</w:t>
      </w:r>
      <w:r w:rsidRPr="004F3E51">
        <w:rPr>
          <w:rFonts w:ascii="Times New Roman" w:hAnsi="Times New Roman" w:cs="Times New Roman"/>
          <w:sz w:val="24"/>
          <w:szCs w:val="24"/>
        </w:rPr>
        <w:t xml:space="preserve">hese observations do not support the hypothesis </w:t>
      </w:r>
      <w:r>
        <w:rPr>
          <w:rFonts w:ascii="Times New Roman" w:hAnsi="Times New Roman" w:cs="Times New Roman"/>
          <w:sz w:val="24"/>
          <w:szCs w:val="24"/>
        </w:rPr>
        <w:t xml:space="preserve">that a change in </w:t>
      </w:r>
      <w:r w:rsidRPr="00602CFA">
        <w:rPr>
          <w:rFonts w:ascii="Times New Roman" w:hAnsi="Times New Roman" w:cs="Times New Roman"/>
          <w:sz w:val="24"/>
          <w:szCs w:val="24"/>
        </w:rPr>
        <w:t>O</w:t>
      </w:r>
      <w:r w:rsidRPr="00602CFA">
        <w:rPr>
          <w:rFonts w:ascii="Times New Roman" w:hAnsi="Times New Roman" w:cs="Times New Roman"/>
          <w:sz w:val="24"/>
          <w:szCs w:val="24"/>
          <w:vertAlign w:val="subscript"/>
        </w:rPr>
        <w:t>3</w:t>
      </w:r>
      <w:r>
        <w:rPr>
          <w:rFonts w:ascii="Times New Roman" w:hAnsi="Times New Roman" w:cs="Times New Roman"/>
          <w:sz w:val="24"/>
          <w:szCs w:val="24"/>
        </w:rPr>
        <w:t xml:space="preserve"> mediated the</w:t>
      </w:r>
      <w:r w:rsidRPr="004F3E51">
        <w:rPr>
          <w:rFonts w:ascii="Times New Roman" w:hAnsi="Times New Roman" w:cs="Times New Roman"/>
          <w:sz w:val="24"/>
          <w:szCs w:val="24"/>
        </w:rPr>
        <w:t xml:space="preserve"> COVID-19 effect </w:t>
      </w:r>
      <w:r>
        <w:rPr>
          <w:rFonts w:ascii="Times New Roman" w:hAnsi="Times New Roman" w:cs="Times New Roman"/>
          <w:sz w:val="24"/>
          <w:szCs w:val="24"/>
        </w:rPr>
        <w:t xml:space="preserve">on </w:t>
      </w:r>
      <w:r w:rsidRPr="004F3E51">
        <w:rPr>
          <w:rFonts w:ascii="Times New Roman" w:hAnsi="Times New Roman" w:cs="Times New Roman"/>
          <w:sz w:val="24"/>
          <w:szCs w:val="24"/>
        </w:rPr>
        <w:t>GPP</w:t>
      </w:r>
      <w:r>
        <w:rPr>
          <w:rFonts w:ascii="Times New Roman" w:hAnsi="Times New Roman" w:cs="Times New Roman"/>
          <w:color w:val="222222"/>
          <w:sz w:val="24"/>
          <w:szCs w:val="24"/>
          <w:shd w:val="clear" w:color="auto" w:fill="FFFFFF"/>
        </w:rPr>
        <w:t xml:space="preserve">. Furthermore, the small decrease in </w:t>
      </w:r>
      <w:r w:rsidRPr="004F3E51">
        <w:rPr>
          <w:rFonts w:ascii="Times New Roman" w:hAnsi="Times New Roman" w:cs="Times New Roman"/>
          <w:sz w:val="24"/>
          <w:szCs w:val="24"/>
        </w:rPr>
        <w:t>O</w:t>
      </w:r>
      <w:r w:rsidRPr="004F3E51">
        <w:rPr>
          <w:rFonts w:ascii="Times New Roman" w:hAnsi="Times New Roman" w:cs="Times New Roman"/>
          <w:sz w:val="24"/>
          <w:szCs w:val="24"/>
          <w:vertAlign w:val="subscript"/>
        </w:rPr>
        <w:t>3</w:t>
      </w:r>
      <w:r w:rsidRPr="004F3E51">
        <w:rPr>
          <w:rFonts w:ascii="Times New Roman" w:hAnsi="Times New Roman" w:cs="Times New Roman"/>
          <w:sz w:val="24"/>
          <w:szCs w:val="24"/>
        </w:rPr>
        <w:t xml:space="preserve"> concentrations (−1.8%)</w:t>
      </w:r>
      <w:r>
        <w:rPr>
          <w:rFonts w:ascii="Times New Roman" w:hAnsi="Times New Roman" w:cs="Times New Roman"/>
          <w:sz w:val="24"/>
          <w:szCs w:val="24"/>
        </w:rPr>
        <w:t xml:space="preserve"> simulated by </w:t>
      </w:r>
      <w:r w:rsidRPr="004F3E51">
        <w:rPr>
          <w:rFonts w:ascii="Times New Roman" w:hAnsi="Times New Roman" w:cs="Times New Roman"/>
          <w:sz w:val="24"/>
          <w:szCs w:val="24"/>
        </w:rPr>
        <w:t>LOTOS-EUROS</w:t>
      </w:r>
      <w:r>
        <w:rPr>
          <w:rFonts w:ascii="Times New Roman" w:hAnsi="Times New Roman" w:cs="Times New Roman"/>
          <w:sz w:val="24"/>
          <w:szCs w:val="24"/>
        </w:rPr>
        <w:t xml:space="preserve"> in spring 2020 had a negligible effect on carbon assimilation. </w:t>
      </w:r>
    </w:p>
    <w:p w14:paraId="55400C8E" w14:textId="77777777" w:rsidR="00103AF5" w:rsidRDefault="00103AF5" w:rsidP="00103AF5">
      <w:pPr>
        <w:snapToGri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increases in </w:t>
      </w:r>
      <w:r w:rsidRPr="004F3E51">
        <w:rPr>
          <w:rFonts w:ascii="Times New Roman" w:eastAsia="Times New Roman" w:hAnsi="Times New Roman" w:cs="Times New Roman"/>
          <w:i/>
          <w:iCs/>
          <w:color w:val="000000" w:themeColor="text1"/>
          <w:kern w:val="24"/>
          <w:sz w:val="24"/>
          <w:szCs w:val="24"/>
        </w:rPr>
        <w:t>α</w:t>
      </w:r>
      <w:r>
        <w:rPr>
          <w:rFonts w:ascii="Times New Roman" w:eastAsia="Times New Roman" w:hAnsi="Times New Roman" w:cs="Times New Roman"/>
          <w:color w:val="000000" w:themeColor="text1"/>
          <w:kern w:val="24"/>
          <w:sz w:val="24"/>
          <w:szCs w:val="24"/>
        </w:rPr>
        <w:t xml:space="preserve"> and </w:t>
      </w:r>
      <w:r w:rsidRPr="004F3E51">
        <w:rPr>
          <w:rFonts w:ascii="Times New Roman" w:hAnsi="Times New Roman" w:cs="Times New Roman"/>
          <w:i/>
          <w:sz w:val="24"/>
          <w:szCs w:val="24"/>
        </w:rPr>
        <w:t>P</w:t>
      </w:r>
      <w:r w:rsidRPr="004F3E51">
        <w:rPr>
          <w:rFonts w:ascii="Times New Roman" w:hAnsi="Times New Roman" w:cs="Times New Roman"/>
          <w:i/>
          <w:sz w:val="24"/>
          <w:szCs w:val="24"/>
          <w:vertAlign w:val="subscript"/>
        </w:rPr>
        <w:t>max</w:t>
      </w:r>
      <w:r>
        <w:rPr>
          <w:rFonts w:ascii="Times New Roman" w:hAnsi="Times New Roman" w:cs="Times New Roman"/>
          <w:sz w:val="24"/>
          <w:szCs w:val="24"/>
        </w:rPr>
        <w:t xml:space="preserve"> in Group 2 (FR-Hes, IT-MBo and IT-Tor) suggest that the</w:t>
      </w:r>
      <w:r w:rsidRPr="004F3E51">
        <w:rPr>
          <w:rFonts w:ascii="Times New Roman" w:hAnsi="Times New Roman" w:cs="Times New Roman"/>
          <w:sz w:val="24"/>
          <w:szCs w:val="24"/>
        </w:rPr>
        <w:t xml:space="preserve"> stronger plant uptake of CO</w:t>
      </w:r>
      <w:r w:rsidRPr="004F3E51">
        <w:rPr>
          <w:rFonts w:ascii="Times New Roman" w:hAnsi="Times New Roman" w:cs="Times New Roman"/>
          <w:sz w:val="24"/>
          <w:szCs w:val="24"/>
          <w:vertAlign w:val="subscript"/>
        </w:rPr>
        <w:t>2</w:t>
      </w:r>
      <w:r w:rsidRPr="004F3E51">
        <w:rPr>
          <w:rFonts w:ascii="Times New Roman" w:hAnsi="Times New Roman" w:cs="Times New Roman"/>
          <w:sz w:val="24"/>
          <w:szCs w:val="24"/>
        </w:rPr>
        <w:t xml:space="preserve"> in 2020 </w:t>
      </w:r>
      <w:r>
        <w:rPr>
          <w:rFonts w:ascii="Times New Roman" w:hAnsi="Times New Roman" w:cs="Times New Roman"/>
          <w:sz w:val="24"/>
          <w:szCs w:val="24"/>
        </w:rPr>
        <w:t xml:space="preserve">at these sites </w:t>
      </w:r>
      <w:r w:rsidRPr="004F3E51">
        <w:rPr>
          <w:rFonts w:ascii="Times New Roman" w:hAnsi="Times New Roman" w:cs="Times New Roman"/>
          <w:sz w:val="24"/>
          <w:szCs w:val="24"/>
        </w:rPr>
        <w:t xml:space="preserve">might be linked to </w:t>
      </w:r>
      <w:r>
        <w:rPr>
          <w:rFonts w:ascii="Times New Roman" w:hAnsi="Times New Roman" w:cs="Times New Roman"/>
          <w:sz w:val="24"/>
          <w:szCs w:val="24"/>
        </w:rPr>
        <w:t>reductions</w:t>
      </w:r>
      <w:r w:rsidRPr="004F3E51">
        <w:rPr>
          <w:rFonts w:ascii="Times New Roman" w:hAnsi="Times New Roman" w:cs="Times New Roman"/>
          <w:sz w:val="24"/>
          <w:szCs w:val="24"/>
        </w:rPr>
        <w:t xml:space="preserve"> in pollutant </w:t>
      </w:r>
      <w:r>
        <w:rPr>
          <w:rFonts w:ascii="Times New Roman" w:hAnsi="Times New Roman" w:cs="Times New Roman"/>
          <w:sz w:val="24"/>
          <w:szCs w:val="24"/>
        </w:rPr>
        <w:t xml:space="preserve">exposure or </w:t>
      </w:r>
      <w:r w:rsidRPr="004F3E51">
        <w:rPr>
          <w:rFonts w:ascii="Times New Roman" w:hAnsi="Times New Roman" w:cs="Times New Roman"/>
          <w:sz w:val="24"/>
          <w:szCs w:val="24"/>
        </w:rPr>
        <w:t>deposition</w:t>
      </w:r>
      <w:r>
        <w:rPr>
          <w:rFonts w:ascii="Times New Roman" w:hAnsi="Times New Roman" w:cs="Times New Roman"/>
          <w:sz w:val="24"/>
          <w:szCs w:val="24"/>
        </w:rPr>
        <w:t xml:space="preserve"> through photosynthesis pathway and/or stomata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 two-year study (January 1994-December 1995) was conducted in the urban environment of Shah Alam and Pangkor Laut (both located in Malaysia) to evaluate plant responses to urban air pollution. Pongamia pinnata was chosen to address the issue of regular leaf fall patterns in urban areas. Changes in plant performance were considered in relation to the status of ambient air quality in the study areas. Reductions in photosynthetic rates, stomatal conductance, carboxylation efficiency and quantum yield for CO2 were correlated with air pollution concentrations at these sites. The study showed that the SO2 and NOX reduced both stomatal conductance and photosynthetic rates. Changes in stomatal conductance have only a very small quantitative effect on the rate of CO2 uptake.","author":[{"dropping-particle":"","family":"Philip","given":"E","non-dropping-particle":"","parse-names":false,"suffix":""}],"container-title":"Journal of Tropical Forest Science","id":"ITEM-1","issue":"4","issued":{"date-parts":[["2002"]]},"page":"474-484","title":"Effects of low concentrations of SO2 and NOX on the photosynthetic characteristics of Pongamia pinnata","type":"article-journal","volume":"14"},"uris":["http://www.mendeley.com/documents/?uuid=91c94328-f691-4863-a3ea-fe426349c0ba"]},{"id":"ITEM-2","itemData":{"DOI":"10.1080/00022470.1978.10470715","ISSN":"00022470","abstract":"Apparent photosynthesis and leaf stomatal conductance were measured in well watered, field grown snap beans (Phaseolus vulgaris L. cv ‘GV50’) fumigated with various levels of H2S alone and in the presence of 0.072 ppm ozone. Mean concentrations of H2S were 0, 0.74, 3.25, and 5.03 ppm. Plants were fumigated from 1000 to 1400 hr (PUT) each day beginning at the first trifoliate leaf stage. The youngest fully expanded leaves were sampled after 18 ± 2 days of fumigation. The plants had 10-11 leaves and were flowering with about 80% of the flowers open. Hydrogen sulfide at 0.74 ppm increased maximum stomatal conductance (C max) by 25% and maximum apparent photosynthesis (P max) by 10%. Higher concentrations of H2S depressed stomatal opening and CO2uptake, and O3plus H2S depressed stomatal and photosynthetic response more than H2S alone. At the highest H2S concentration plus O3, C maxwas 41 %, and Pmax was 52% of the control. Both Cmaxand P maxresponded similarly to the 8 treatments but the difference between maximum and minimum responses was greater for conductance. As pollutant stress increased, photosynthesis ceased to respond linearly to increasing conductance at lower conductance values indicating that mesophyll resistance to CO2transfer was more limiting than CO2diffusion through the stornata at higher light intensities. The initial slope of the curves of both conductance and photosynthesis as a function of irradiance decreased with increasing stress, suggesting decreased sensitivity to light. This indicates an increased sluggishness in the guard cells, which could be related to induced leaf senescence caused by the pollutants. It also indicates a loss of photochemical conversion efficiency resulting from loss of chlorophyll and development of necrotic areas on the leaves of the more stressed plants. © Taylor &amp; Francis Group, LLC.","author":[{"dropping-particle":"","family":"Coyne","given":"Patrick I.","non-dropping-particle":"","parse-names":false,"suffix":""},{"dropping-particle":"","family":"Bingham","given":"Gail E.","non-dropping-particle":"","parse-names":false,"suffix":""}],"container-title":"Journal of the Air Pollution Control Association","id":"ITEM-2","issue":"11","issued":{"date-parts":[["1978"]]},"page":"1119-1123","title":"Photosynthesis and Stomatal Light Responses in Snap Beans Exposed to Hydrogen Sulfide and Ozone","type":"article-journal","volume":"28"},"uris":["http://www.mendeley.com/documents/?uuid=7f7ebf89-f2d6-4379-8aa1-b33ce2eb1e83"]}],"mendeley":{"formattedCitation":"(Coyne &amp; Bingham, 1978; Philip, 2002)","plainTextFormattedCitation":"(Coyne &amp; Bingham, 1978; Philip, 2002)","previouslyFormattedCitation":"(Coyne &amp; Bingham, 1978; Philip, 2002)"},"properties":{"noteIndex":0},"schema":"https://github.com/citation-style-language/schema/raw/master/csl-citation.json"}</w:instrText>
      </w:r>
      <w:r>
        <w:rPr>
          <w:rFonts w:ascii="Times New Roman" w:hAnsi="Times New Roman" w:cs="Times New Roman"/>
          <w:sz w:val="24"/>
          <w:szCs w:val="24"/>
        </w:rPr>
        <w:fldChar w:fldCharType="separate"/>
      </w:r>
      <w:r w:rsidRPr="006A1D0A">
        <w:rPr>
          <w:rFonts w:ascii="Times New Roman" w:hAnsi="Times New Roman" w:cs="Times New Roman"/>
          <w:noProof/>
          <w:sz w:val="24"/>
          <w:szCs w:val="24"/>
        </w:rPr>
        <w:t>(Coyne &amp; Bingham, 1978; Philip, 2002)</w:t>
      </w:r>
      <w:r>
        <w:rPr>
          <w:rFonts w:ascii="Times New Roman" w:hAnsi="Times New Roman" w:cs="Times New Roman"/>
          <w:sz w:val="24"/>
          <w:szCs w:val="24"/>
        </w:rPr>
        <w:fldChar w:fldCharType="end"/>
      </w:r>
      <w:r>
        <w:rPr>
          <w:rFonts w:ascii="Times New Roman" w:hAnsi="Times New Roman" w:cs="Times New Roman"/>
          <w:sz w:val="24"/>
          <w:szCs w:val="24"/>
        </w:rPr>
        <w:t>. T</w:t>
      </w:r>
      <w:r w:rsidRPr="004F3E51">
        <w:rPr>
          <w:rFonts w:ascii="Times New Roman" w:hAnsi="Times New Roman" w:cs="Times New Roman"/>
          <w:sz w:val="24"/>
          <w:szCs w:val="24"/>
        </w:rPr>
        <w:t xml:space="preserve">he long-range transboundary transport of air pollutants from the Po Valley </w:t>
      </w:r>
      <w:r>
        <w:rPr>
          <w:rFonts w:ascii="Times New Roman" w:hAnsi="Times New Roman" w:cs="Times New Roman"/>
          <w:sz w:val="24"/>
          <w:szCs w:val="24"/>
        </w:rPr>
        <w:t xml:space="preserve">has been </w:t>
      </w:r>
      <w:r w:rsidRPr="004F3E51">
        <w:rPr>
          <w:rFonts w:ascii="Times New Roman" w:hAnsi="Times New Roman" w:cs="Times New Roman"/>
          <w:sz w:val="24"/>
          <w:szCs w:val="24"/>
        </w:rPr>
        <w:t xml:space="preserve">demonstrated </w:t>
      </w:r>
      <w:r>
        <w:rPr>
          <w:rFonts w:ascii="Times New Roman" w:hAnsi="Times New Roman" w:cs="Times New Roman"/>
          <w:sz w:val="24"/>
          <w:szCs w:val="24"/>
        </w:rPr>
        <w:t xml:space="preserve">to affect not only </w:t>
      </w:r>
      <w:r w:rsidRPr="004F3E51">
        <w:rPr>
          <w:rFonts w:ascii="Times New Roman" w:hAnsi="Times New Roman" w:cs="Times New Roman"/>
          <w:sz w:val="24"/>
          <w:szCs w:val="24"/>
        </w:rPr>
        <w:t xml:space="preserve">the Italian Alpine region, </w:t>
      </w:r>
      <w:r>
        <w:rPr>
          <w:rFonts w:ascii="Times New Roman" w:hAnsi="Times New Roman" w:cs="Times New Roman"/>
          <w:sz w:val="24"/>
          <w:szCs w:val="24"/>
        </w:rPr>
        <w:t xml:space="preserve">but also </w:t>
      </w:r>
      <w:r w:rsidRPr="004F3E51">
        <w:rPr>
          <w:rFonts w:ascii="Times New Roman" w:hAnsi="Times New Roman" w:cs="Times New Roman"/>
          <w:sz w:val="24"/>
          <w:szCs w:val="24"/>
        </w:rPr>
        <w:t xml:space="preserve">other Italian regions and surrounding countries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{"citationItems":[{"id":"ITEM-1","itemData":{"DOI":"10.1029/2002GL014897","ISSN":"19448007","abstract":"An elevated layer was observed during airborne lidar and in-situ aerosol measurements, leeward of the European Alps and Apennine mountains. The layer was encountered during the Mesoscale Alpine Program (MAP) in autumn 1999, and extended &gt;200 km at an altitude </w:instrText>
      </w:r>
      <w:r>
        <w:rPr>
          <w:rFonts w:ascii="Cambria Math" w:hAnsi="Cambria Math" w:cs="Cambria Math"/>
          <w:sz w:val="24"/>
          <w:szCs w:val="24"/>
        </w:rPr>
        <w:instrText>∼</w:instrText>
      </w:r>
      <w:r>
        <w:rPr>
          <w:rFonts w:ascii="Times New Roman" w:hAnsi="Times New Roman" w:cs="Times New Roman"/>
          <w:sz w:val="24"/>
          <w:szCs w:val="24"/>
        </w:rPr>
        <w:instrText>4100 m asl over the northern Adriatic sea. Detailed meteorological analysis suggested that mountain venting followed by advection was responsible for formation of the layer. Evidence for particle nucleation was found in six profiles, and was associated with regions of cloud outflow. Despite determination of the average aerosol mass concentration within the layer (</w:instrText>
      </w:r>
      <w:r>
        <w:rPr>
          <w:rFonts w:ascii="Cambria Math" w:hAnsi="Cambria Math" w:cs="Cambria Math"/>
          <w:sz w:val="24"/>
          <w:szCs w:val="24"/>
        </w:rPr>
        <w:instrText>∼</w:instrText>
      </w:r>
      <w:r>
        <w:rPr>
          <w:rFonts w:ascii="Times New Roman" w:hAnsi="Times New Roman" w:cs="Times New Roman"/>
          <w:sz w:val="24"/>
          <w:szCs w:val="24"/>
        </w:rPr>
        <w:instrText>1.8 (SO4) μg m-3), an estimate of export to the free troposphere was complicated by the complex structure of the planetary boundary layer.","author":[{"dropping-particle":"","family":"Nyeki","given":"S.","non-dropping-particle":"","parse-names":false,"suffix":""},{"dropping-particle":"","family":"Eleftheriadis","given":"K.","non-dropping-particle":"","parse-names":false,"suffix":""},{"dropping-particle":"","family":"Baltensperger","given":"U.","non-dropping-particle":"","parse-names":false,"suffix":""},{"dropping-particle":"","family":"Colbeck","given":"I.","non-dropping-particle":"","parse-names":false,"suffix":""},{"dropping-particle":"","family":"Fiebig","given":"M.","non-dropping-particle":"","parse-names":false,"suffix":""},{"dropping-particle":"","family":"Fix","given":"A.","non-dropping-particle":"","parse-names":false,"suffix":""},{"dropping-particle":"","family":"Kiemle","given":"C.","non-dropping-particle":"","parse-names":false,"suffix":""},{"dropping-particle":"","family":"Lazaridis","given":"M.","non-dropping-particle":"","parse-names":false,"suffix":""},{"dropping-particle":"","family":"Petzold","given":"A.","non-dropping-particle":"","parse-names":false,"suffix":""}],"container-title":"Geophysical Research Letters","id":"ITEM-1","issue":"17","issued":{"date-parts":[["2002"]]},"page":"3-6","title":"Airborne lidar and in-situ aerosol observations of an elevated layer, leeward of the european alps and apennines","type":"article-journal","volume":"29"},"uris":["http://www.mendeley.com/documents/?uuid=c03a5547-e726-4c15-b97f-2f9860d2e598"]},{"id":"ITEM-2","itemData":{"DOI":"10.1016/j.atmosenv.2014.01.048","ISSN":"18732844","abstract":"Nocturnal organic and inorganic chemical characterization of fine (PM1) aerosol was carried out at the GAW global high mountain station of Mt. Cimone (CMN), from January 2009 to December 2011, in the framework of the EU-EUSAAR and ACTRIS programs. The station is located at the summit of the Northern Italian Apennines (2165m a.s.l.) overlooking the polluted Po river basin and is considered representative of background conditions for Southern Europe/Northern Mediterranean.The concentrations of carbonaceous and ionic aerosol follow a typical seasonal trend, with maxima during summer and minima during winter. The average PM1 mass apportioned by the chemical analyses ranged between 1.2±0.68μgm-3 (winter) and 5.0±2.7μgm-3 (summer), with ca. 80% and 60%, respectively, accounted for by organic matter, mainly water-soluble (yearly average WSOC/TC ratio 0.67±0.18), the remainder taking the form of ammonium salts. The fine fraction turned out to be mostly neutralized by ammonia, with a slight tendency to acidity during colder months.This seasonal cycle can be explained by the interplay between the local/mesoscale (vertical) and large-scale (advective) circulations. From mid-spring to late summer, stable anticyclonic conditions and increased turbulent mixing in the lower troposphere, associated to the thermal mountain wind system, induce convective/thermal uplift of air masses from the Po Valley to CMN, strongly altering the free tropospheric aerosol features. Conversely, higher vertical stability at the low levels and variable transport patterns related to the passage of synoptic disturbances over Northern Italy, determine a weaker influence of vertical transport of pollution on aerosol composition, during midfall-winter.At CMN, the synoptic-scale circulation regimes presented four principal contributions: Mediterranean, Western Europe, continental Europe and Eastern Europe. © 2014 Elsevier Ltd.","author":[{"dropping-particle":"","family":"Carbone","given":"Claudio","non-dropping-particle":"","parse-names":false,"suffix":""},{"dropping-particle":"","family":"Decesari","given":"Stefano","non-dropping-particle":"","parse-names":false,"suffix":""},{"dropping-particle":"","family":"Paglione","given":"Marco","non-dropping-particle":"","parse-names":false,"suffix":""},{"dropping-particle":"","family":"Giulianelli","given":"Lara","non-dropping-particle":"","parse-names":false,"suffix":""},{"dropping-particle":"","family":"Rinaldi","given":"Matteo","non-dropping-particle":"","parse-names":false,"suffix":""},{"dropping-particle":"","family":"Marinoni","given":"Angela","non-dropping-particle":"","parse-names":false,"suffix":""},{"dropping-particle":"","family":"Cristofanelli","given":"Paolo","non-dropping-particle":"","parse-names":false,"suffix":""},{"dropping-particle":"","family":"Didiodato","given":"Attilio","non-dropping-particle":"","parse-names":false,"suffix":""},{"dropping-particle":"","family":"Bonasoni","given":"Paolo","non-dropping-particle":"","parse-names":false,"suffix":""},{"dropping-particle":"","family":"Fuzzi","given":"Sandro","non-dropping-particle":"","parse-names":false,"suffix":""},{"dropping-particle":"","family":"Facchini","given":"Maria Cristina","non-dropping-particle":"","parse-names":false,"suffix":""}],"container-title":"Atmospheric Environment","id":"ITEM-2","issued":{"date-parts":[["2014"]]},"page":"218-227","publisher":"Elsevier Ltd","title":"3-year chemical composition of free tropospheric PM1 at the Mt. Cimone GAW global station - South Europe - 2165m a.s.l.","type":"article-journal","volume":"87"},"uris":["http://www.mendeley.com/documents/?uuid=ddd4c658-9136-4866-8c7a-9d3cf7769639"]},{"id":"ITEM-3","itemData":{"DOI":"10.1016/j.uclim.2014.02.002","ISBN":"0227007255","ISSN":"22120955","abstract":"The Po Valley is a major populated area including different conurbations, with a population density among the highest in Europe. The region is an air pollution hot spot, where the European air quality standards are exceeded for PM10, NO&lt;inf&gt;2&lt;/inf&gt; and O&lt;inf&gt;3&lt;/inf&gt;. The pollutants exported from the Po Valley to the surrounding areas have been investigated through the application of a chemical transport model. Emission sensitivity simulations have been performed to identify the Po Valley footprint and to quantify its influence on the atmospheric composition. Simulation results suggest that the Po Valley emissions impact extends up to 500km, affecting Italy, the northern Mediterranean sea and the western Balkan peninsula. The outflow directions are determined by meteorological and topographic forcing. The surface area affected is larger during the winter, while the mass injected in the free troposphere is larger during the summer for pollutants with longer lifetime. Secondary PM components show an impact area wider than the other pollutants. NO&lt;inf&gt;2&lt;/inf&gt; footprint and its contribution to local concentration are relevant especially during wintertime. The Po Valley emissions contribute to the production of ozone at regional scale during the summer, although this contribution remains limited to few percentage points of local concentration levels.","author":[{"dropping-particle":"","family":"Finardi","given":"S.","non-dropping-particle":"","parse-names":false,"suffix":""},{"dropping-particle":"","family":"Silibello","given":"C.","non-dropping-particle":"","parse-names":false,"suffix":""},{"dropping-particle":"","family":"D'Allura","given":"A.","non-dropping-particle":"","parse-names":false,"suffix":""},{"dropping-particle":"","family":"Radice","given":"P.","non-dropping-particle":"","parse-names":false,"suffix":""}],"container-title":"Urban Climate","id":"ITEM-3","issued":{"date-parts":[["2014"]]},"page":"682-702","publisher":"Elsevier B.V.","title":"Analysis of pollutants exchange between the Po Valley and the surrounding European region","type":"article-journal","volume":"10"},"uris":["http://www.mendeley.com/documents/?uuid=e063712c-b7d6-4496-916e-e8d5a4047abb"]},{"id":"ITEM-4","itemData":{"DOI":"10.5194/acp-19-3065-2019","ISSN":"16807324","abstract":"Mountainous regions are often considered pristine environments; however they can be affected by pollutants emitted in more populated and industrialised areas, transported by regional winds. Based on experimental evidence, further supported by modelling tools, here we demonstrate and quantify the impact of air masses transported from the Po Valley, a European atmospheric pollution hotspot, to the northwestern Alps. This is achieved through a detailed investigation of the phenomenology of near-range (a few hundred kilometres), trans-regional transport, exploiting synergies of multi-sensor observations mainly focussed on particulate matter. The explored dataset includes vertically resolved data from atmospheric profiling techniques (automated lidar ceilometers, ALCs), vertically integrated aerosol properties from ground (sun photometer) and space, and in situ measurements (PM10 and PM2.5, relevant chemical analyses, and aerosol size distribution). During the frequent advection episodes from the Po basin, all the physical quantities observed by the instrumental setup are found to significantly increase: the scattering ratio from ALC reaches values &gt;30, aerosol optical depth (AOD) triples, surface PM10 reaches concentrations &gt;100 μg mg-3 even in rural areas, and contributions to PM10 by secondary inorganic compounds such as nitrate, ammonium, and sulfate increase up to 28 %, 8 %, and 17 %, respectively. Results also indicate that the aerosol advected from the Po Valley is hygroscopic, smaller in size, and less light-absorbing compared to the aerosol type locally emitted in the northwestern Italian Alps. In this work, the phenomenon is exemplified through detailed analysis and discussion of three case studies, selected for their clarity and relevance within the wider dataset, the latter being fully exploited in a companion paper quantifying the impact of this phenomenology over the long-term cit id 1(Diémoz et al.a href 51 2019). For the three case studies investigated, a high-resolution numerical weather prediction model (COSMO) and a Lagrangian tool (LAGRANTO) are employed to understand the meteorological mechanisms favouring transport and to demonstrate the Po Valley origin of the air masses. In addition, a chemical transport model (FARM) is used to further support the observations and to partition the contributions of local and non-local sources. Results show that the simulations are important to the understanding of the phenomenon under investigation. Ho…","author":[{"dropping-particle":"","family":"Diémoz","given":"Henri","non-dropping-particle":"","parse-names":false,"suffix":""},{"dropping-particle":"","family":"Barnaba","given":"Francesca","non-dropping-particle":"","parse-names":false,"suffix":""},{"dropping-particle":"","family":"Magri","given":"Tiziana","non-dropping-particle":"","parse-names":false,"suffix":""},{"dropping-particle":"","family":"Pession","given":"Giordano","non-dropping-particle":"","parse-names":false,"suffix":""},{"dropping-particle":"","family":"Dionisi","given":"Davide","non-dropping-particle":"","parse-names":false,"suffix":""},{"dropping-particle":"","family":"Pittavino","given":"Sara","non-dropping-particle":"","parse-names":false,"suffix":""},{"dropping-particle":"","family":"Tombolato","given":"Ivan K.F.","non-dropping-particle":"","parse-names":false,"suffix":""},{"dropping-particle":"","family":"Campanelli","given":"Monica","non-dropping-particle":"","parse-names":false,"suffix":""},{"dropping-particle":"Della","family":"Ceca","given":"Lara Sofia","non-dropping-particle":"","parse-names":false,"suffix":""},{"dropping-particle":"","family":"Hervo","given":"Maxime","non-dropping-particle":"","parse-names":false,"suffix":""},{"dropping-particle":"","family":"Liberto","given":"Luca","non-dropping-particle":"Di","parse-names":false,"suffix":""},{"dropping-particle":"","family":"Ferrero","given":"Luca","non-dropping-particle":"","parse-names":false,"suffix":""},{"dropping-particle":"","family":"Gobbi","given":"Gian Paolo","non-dropping-particle":"","parse-names":false,"suffix":""}],"container-title":"Atmospheric Chemistry and Physics","id":"ITEM-4","issue":"5","issued":{"date-parts":[["2019"]]},"page":"3065-3095","title":"Transport of Po Valley aerosol pollution to the northwestern Alps-Part 1: Phenomenology","type":"article-journal","volume":"19"},"uris":["http://www.mendeley.com/documents/?uuid=035c7c5d-3969-4b7f-b25b-22b9a4c37db9"]},{"id":"ITEM-5","itemData":{"DOI":"10.5194/acp-19-3065-2019","ISSN":"16807324","abstract":"Mountainous regions are often considered pristine environments; however they can be affected by pollutants emitted in more populated and industrialised areas, transported by regional winds. Based on experimental evidence, further supported by modelling tools, here we demonstrate and quantify the impact of air masses transported from the Po Valley, a European atmospheric pollution hotspot, to the northwestern Alps. This is achieved through a detailed investigation of the phenomenology of near-range (a few hundred kilometres), trans-regional transport, exploiting synergies of multi-sensor observations mainly focussed on particulate matter. The explored dataset includes vertically resolved data from atmospheric profiling techniques (automated lidar ceilometers, ALCs), vertically integrated aerosol properties from ground (sun photometer) and space, and in situ measurements (PM10 and PM2.5, relevant chemical analyses, and aerosol size distribution). During the frequent advection episodes from the Po basin, all the physical quantities observed by the instrumental setup are found to significantly increase: the scattering ratio from ALC reaches values &gt;30, aerosol optical depth (AOD) triples, surface PM10 reaches concentrations &gt;100 μg mg-3 even in rural areas, and contributions to PM10 by secondary inorganic compounds such as nitrate, ammonium, and sulfate increase up to 28 %, 8 %, and 17 %, respectively. Results also indicate that the aerosol advected from the Po Valley is hygroscopic, smaller in size, and less light-absorbing compared to the aerosol type locally emitted in the northwestern Italian Alps. In this work, the phenomenon is exemplified through detailed analysis and discussion of three case studies, selected for their clarity and relevance within the wider dataset, the latter being fully exploited in a companion paper quantifying the impact of this phenomenology over the long-term cit id 1(Diémoz et al.a href 51 2019). For the three case studies investigated, a high-resolution numerical weather prediction model (COSMO) and a Lagrangian tool (LAGRANTO) are employed to understand the meteorological mechanisms favouring transport and to demonstrate the Po Valley origin of the air masses. In addition, a chemical transport model (FARM) is used to further support the observations and to partition the contributions of local and non-local sources. Results show that the simulations are important to the understanding of the phenomenon under investigation. Ho…","author":[{"dropping-particle":"","family":"Diémoz","given":"Henri","non-dropping-particle":"","parse-names":false,"suffix":""},{"dropping-particle":"","family":"Gobbi","given":"Gian Paolo","non-dropping-particle":"","parse-names":false,"suffix":""},{"dropping-particle":"","family":"Magri","given":"Tiziana","non-dropping-particle":"","parse-names":false,"suffix":""},{"dropping-particle":"","family":"Pession","given":"Giordano","non-dropping-particle":"","parse-names":false,"suffix":""},{"dropping-particle":"","family":"Pittavino","given":"Sara","non-dropping-particle":"","parse-names":false,"suffix":""},{"dropping-particle":"","family":"Tombolato","given":"Ivan K.F.","non-dropping-particle":"","parse-names":false,"suffix":""},{"dropping-particle":"","family":"Campanelli","given":"Monica","non-dropping-particle":"","parse-names":false,"suffix":""},{"dropping-particle":"","family":"Barnaba","given":"Francesca","non-dropping-particle":"","parse-names":false,"suffix":""}],"container-title":"Atmospheric Chemistry and Physics","id":"ITEM-5","issue":"5","issued":{"date-parts":[["2019"]]},"page":"10129–10160","title":"Transport of Po Valley aerosol pollution to the northwestern Alps – Part 2: Long-term impact on air quality Henri","type":"article-journal","volume":"19"},"uris":["http://www.mendeley.com/documents/?uuid=fe1f68d3-6f0e-4717-95f1-f8e9a4739844"]}],"mendeley":{"formattedCitation":"(Carbone et al., 2014; Diémoz, Barnaba, et al., 2019; Diémoz, Gobbi, et al., 2019; Finardi, Silibello, D’Allura, &amp; Radice, 2014; Nyeki et al., 2002)","plainTextFormattedCitation":"(Carbone et al., 2014; Diémoz, Barnaba, et al., 2019; Diémoz, Gobbi, et al., 2019; Finardi, Silibello, D’Allura, &amp; Radice, 2014; Nyeki et al., 2002)","previouslyFormattedCitation":"(Carbone et al., 2014; Diémoz, Barnaba, et al., 2019; Diémoz, Gobbi, et al., 2019; Finardi, Silibello, D’Allura, &amp; Radice, 2014; Nyeki et al., 2002)"},"properties":{"noteIndex":0},"schema":"https://github.com/citation-style-language/schema/raw/master/csl-citation.json"}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(Carbone et al., 2014; Diémoz, Barnaba, et al., 2019; Diémoz, Gobbi, et al., 2019; Finardi, Silibello, D’Allura, &amp; Radice, 2014; Nyeki et al., 2002)</w:t>
      </w:r>
      <w:r w:rsidRPr="004F3E51">
        <w:rPr>
          <w:rFonts w:ascii="Times New Roman" w:hAnsi="Times New Roman" w:cs="Times New Roman"/>
          <w:sz w:val="24"/>
          <w:szCs w:val="24"/>
        </w:rPr>
        <w:fldChar w:fldCharType="end"/>
      </w:r>
      <w:r>
        <w:rPr>
          <w:rFonts w:ascii="Times New Roman" w:hAnsi="Times New Roman" w:cs="Times New Roman"/>
          <w:sz w:val="24"/>
          <w:szCs w:val="24"/>
        </w:rPr>
        <w:t>. W</w:t>
      </w:r>
      <w:r w:rsidRPr="004F3E51">
        <w:rPr>
          <w:rFonts w:ascii="Times New Roman" w:hAnsi="Times New Roman" w:cs="Times New Roman"/>
          <w:sz w:val="24"/>
          <w:szCs w:val="24"/>
        </w:rPr>
        <w:t xml:space="preserve">ith a population </w:t>
      </w:r>
      <w:r>
        <w:rPr>
          <w:rFonts w:ascii="Times New Roman" w:hAnsi="Times New Roman" w:cs="Times New Roman"/>
          <w:sz w:val="24"/>
          <w:szCs w:val="24"/>
        </w:rPr>
        <w:t xml:space="preserve">of </w:t>
      </w:r>
      <w:r w:rsidRPr="004F3E51">
        <w:rPr>
          <w:rFonts w:ascii="Times New Roman" w:hAnsi="Times New Roman" w:cs="Times New Roman"/>
          <w:sz w:val="24"/>
          <w:szCs w:val="24"/>
        </w:rPr>
        <w:t>over 20 million inhabitants</w:t>
      </w:r>
      <w:r>
        <w:rPr>
          <w:rFonts w:ascii="Times New Roman" w:hAnsi="Times New Roman" w:cs="Times New Roman"/>
          <w:sz w:val="24"/>
          <w:szCs w:val="24"/>
        </w:rPr>
        <w:t xml:space="preserve">, the Po Valley is </w:t>
      </w:r>
      <w:r w:rsidRPr="004F3E51">
        <w:rPr>
          <w:rFonts w:ascii="Times New Roman" w:hAnsi="Times New Roman" w:cs="Times New Roman"/>
          <w:sz w:val="24"/>
          <w:szCs w:val="24"/>
        </w:rPr>
        <w:t xml:space="preserve">one of the European pollution hotspots in northern Italy. </w:t>
      </w:r>
      <w:r>
        <w:rPr>
          <w:rFonts w:ascii="Times New Roman" w:hAnsi="Times New Roman" w:cs="Times New Roman"/>
          <w:sz w:val="24"/>
          <w:szCs w:val="24"/>
        </w:rPr>
        <w:t xml:space="preserve">Due to the valley’s </w:t>
      </w:r>
      <w:r w:rsidRPr="004F3E51">
        <w:rPr>
          <w:rFonts w:ascii="Times New Roman" w:hAnsi="Times New Roman" w:cs="Times New Roman"/>
          <w:sz w:val="24"/>
          <w:szCs w:val="24"/>
        </w:rPr>
        <w:t>morphology and topography, pollutants are often trapped within the valley</w:t>
      </w:r>
      <w:r>
        <w:rPr>
          <w:rFonts w:ascii="Times New Roman" w:hAnsi="Times New Roman" w:cs="Times New Roman"/>
          <w:sz w:val="24"/>
          <w:szCs w:val="24"/>
        </w:rPr>
        <w:t>,</w:t>
      </w:r>
      <w:r w:rsidRPr="004F3E51">
        <w:rPr>
          <w:rFonts w:ascii="Times New Roman" w:hAnsi="Times New Roman" w:cs="Times New Roman"/>
          <w:sz w:val="24"/>
          <w:szCs w:val="24"/>
        </w:rPr>
        <w:t xml:space="preserve"> which is enclosed by the Alps on the north and west, and the Apennine on the south. The aerosol particles</w:t>
      </w:r>
      <w:r>
        <w:rPr>
          <w:rFonts w:ascii="Times New Roman" w:hAnsi="Times New Roman" w:cs="Times New Roman"/>
          <w:sz w:val="24"/>
          <w:szCs w:val="24"/>
        </w:rPr>
        <w:t>,</w:t>
      </w:r>
      <w:r w:rsidRPr="004F3E51">
        <w:rPr>
          <w:rFonts w:ascii="Times New Roman" w:hAnsi="Times New Roman" w:cs="Times New Roman"/>
          <w:sz w:val="24"/>
          <w:szCs w:val="24"/>
        </w:rPr>
        <w:t xml:space="preserve"> mainly </w:t>
      </w:r>
      <w:r>
        <w:rPr>
          <w:rFonts w:ascii="Times New Roman" w:hAnsi="Times New Roman" w:cs="Times New Roman"/>
          <w:sz w:val="24"/>
          <w:szCs w:val="24"/>
        </w:rPr>
        <w:t xml:space="preserve">of </w:t>
      </w:r>
      <w:r w:rsidRPr="004F3E51">
        <w:rPr>
          <w:rFonts w:ascii="Times New Roman" w:hAnsi="Times New Roman" w:cs="Times New Roman"/>
          <w:sz w:val="24"/>
          <w:szCs w:val="24"/>
        </w:rPr>
        <w:t>secondary origin from the Po Valley</w:t>
      </w:r>
      <w:r>
        <w:rPr>
          <w:rFonts w:ascii="Times New Roman" w:hAnsi="Times New Roman" w:cs="Times New Roman"/>
          <w:sz w:val="24"/>
          <w:szCs w:val="24"/>
        </w:rPr>
        <w:t xml:space="preserve">, can form </w:t>
      </w:r>
      <w:r w:rsidRPr="004F3E51">
        <w:rPr>
          <w:rFonts w:ascii="Times New Roman" w:hAnsi="Times New Roman" w:cs="Times New Roman"/>
          <w:sz w:val="24"/>
          <w:szCs w:val="24"/>
        </w:rPr>
        <w:t xml:space="preserve">layers </w:t>
      </w:r>
      <w:r>
        <w:rPr>
          <w:rFonts w:ascii="Times New Roman" w:hAnsi="Times New Roman" w:cs="Times New Roman"/>
          <w:sz w:val="24"/>
          <w:szCs w:val="24"/>
        </w:rPr>
        <w:t xml:space="preserve">that are </w:t>
      </w:r>
      <w:r w:rsidRPr="004F3E51">
        <w:rPr>
          <w:rFonts w:ascii="Times New Roman" w:hAnsi="Times New Roman" w:cs="Times New Roman"/>
          <w:sz w:val="24"/>
          <w:szCs w:val="24"/>
        </w:rPr>
        <w:t xml:space="preserve">advected by thermally driven winds or synoptic flows </w:t>
      </w:r>
      <w:r>
        <w:rPr>
          <w:rFonts w:ascii="Times New Roman" w:hAnsi="Times New Roman" w:cs="Times New Roman"/>
          <w:sz w:val="24"/>
          <w:szCs w:val="24"/>
        </w:rPr>
        <w:t>and</w:t>
      </w:r>
      <w:r w:rsidRPr="004F3E51">
        <w:rPr>
          <w:rFonts w:ascii="Times New Roman" w:hAnsi="Times New Roman" w:cs="Times New Roman"/>
          <w:sz w:val="24"/>
          <w:szCs w:val="24"/>
        </w:rPr>
        <w:t xml:space="preserve"> extend up to 4,000 m a.s.l. on the north-western Alps</w:t>
      </w:r>
      <w:r>
        <w:rPr>
          <w:rFonts w:ascii="Times New Roman" w:hAnsi="Times New Roman" w:cs="Times New Roman"/>
          <w:sz w:val="24"/>
          <w:szCs w:val="24"/>
        </w:rPr>
        <w:t xml:space="preserve">, </w:t>
      </w:r>
      <w:r w:rsidRPr="00926DFC">
        <w:rPr>
          <w:rFonts w:ascii="Times New Roman" w:hAnsi="Times New Roman" w:cs="Times New Roman"/>
          <w:sz w:val="24"/>
          <w:szCs w:val="24"/>
        </w:rPr>
        <w:t xml:space="preserve">implying potential impacts of dry and wet deposition of aerosols on high-altitude ecosystems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{"citationItems":[{"id":"ITEM-1","itemData":{"DOI":"10.5194/acp-19-3065-2019","ISSN":"16807324","abstract":"Mountainous regions are often considered pristine environments; however they can be affected by pollutants emitted in more populated and industrialised areas, transported by regional winds. Based on experimental evidence, further supported by modelling tools, here we demonstrate and quantify the impact of air masses transported from the Po Valley, a European atmospheric pollution hotspot, to the northwestern Alps. This is achieved through a detailed investigation of the phenomenology of near-range (a few hundred kilometres), trans-regional transport, exploiting synergies of multi-sensor observations mainly focussed on particulate matter. The explored dataset includes vertically resolved data from atmospheric profiling techniques (automated lidar ceilometers, ALCs), vertically integrated aerosol properties from ground (sun photometer) and space, and in situ measurements (PM10 and PM2.5, relevant chemical analyses, and aerosol size distribution). During the frequent advection episodes from the Po basin, all the physical quantities observed by the instrumental setup are found to significantly increase: the scattering ratio from ALC reaches values &gt;30, aerosol optical depth (AOD) triples, surface PM10 reaches concentrations &gt;100 μg mg-3 even in rural areas, and contributions to PM10 by secondary inorganic compounds such as nitrate, ammonium, and sulfate increase up to 28 %, 8 %, and 17 %, respectively. Results also indicate that the aerosol advected from the Po Valley is hygroscopic, smaller in size, and less light-absorbing compared to the aerosol type locally emitted in the northwestern Italian Alps. In this work, the phenomenon is exemplified through detailed analysis and discussion of three case studies, selected for their clarity and relevance within the wider dataset, the latter being fully exploited in a companion paper quantifying the impact of this phenomenology over the long-term cit id 1(Diémoz et al.a href 51 2019). For the three case studies investigated, a high-resolution numerical weather prediction model (COSMO) and a Lagrangian tool (LAGRANTO) are employed to understand the meteorological mechanisms favouring transport and to demonstrate the Po Valley origin of the air masses. In addition, a chemical transport model (FARM) is used to further support the observations and to partition the contributions of local and non-local sources. Results show that the simulations are important to the understanding of the phenomenon under investigation. Ho…","author":[{"dropping-particle":"","family":"Diémoz","given":"Henri","non-dropping-particle":"","parse-names":false,"suffix":""},{"dropping-particle":"","family":"Barnaba","given":"Francesca","non-dropping-particle":"","parse-names":false,"suffix":""},{"dropping-particle":"","family":"Magri","given":"Tiziana","non-dropping-particle":"","parse-names":false,"suffix":""},{"dropping-particle":"","family":"Pession","given":"Giordano","non-dropping-particle":"","parse-names":false,"suffix":""},{"dropping-particle":"","family":"Dionisi","given":"Davide","non-dropping-particle":"","parse-names":false,"suffix":""},{"dropping-particle":"","family":"Pittavino","given":"Sara","non-dropping-particle":"","parse-names":false,"suffix":""},{"dropping-particle":"","family":"Tombolato","given":"Ivan K.F.","non-dropping-particle":"","parse-names":false,"suffix":""},{"dropping-particle":"","family":"Campanelli","given":"Monica","non-dropping-particle":"","parse-names":false,"suffix":""},{"dropping-particle":"Della","family":"Ceca","given":"Lara Sofia","non-dropping-particle":"","parse-names":false,"suffix":""},{"dropping-particle":"","family":"Hervo","given":"Maxime","non-dropping-particle":"","parse-names":false,"suffix":""},{"dropping-particle":"","family":"Liberto","given":"Luca","non-dropping-particle":"Di","parse-names":false,"suffix":""},{"dropping-particle":"","family":"Ferrero","given":"Luca","non-dropping-particle":"","parse-names":false,"suffix":""},{"dropping-particle":"","family":"Gobbi","given":"Gian Paolo","non-dropping-particle":"","parse-names":false,"suffix":""}],"container-title":"Atmospheric Chemistry and Physics","id":"ITEM-1","issue":"5","issued":{"date-parts":[["2019"]]},"page":"3065-3095","title":"Transport of Po Valley aerosol pollution to the northwestern Alps-Part 1: Phenomenology","type":"article-journal","volume":"19"},"uris":["http://www.mendeley.com/documents/?uuid=035c7c5d-3969-4b7f-b25b-22b9a4c37db9"]},{"id":"ITEM-2","itemData":{"DOI":"10.5194/acp-19-3065-2019","ISSN":"16807324","abstract":"Mountainous regions are often considered pristine environments; however they can be affected by pollutants emitted in more populated and industrialised areas, transported by regional winds. Based on experimental evidence, further supported by modelling tools, here we demonstrate and quantify the impact of air masses transported from the Po Valley, a European atmospheric pollution hotspot, to the northwestern Alps. This is achieved through a detailed investigation of the phenomenology of near-range (a few hundred kilometres), trans-regional transport, exploiting synergies of multi-sensor observations mainly focussed on particulate matter. The explored dataset includes vertically resolved data from atmospheric profiling techniques (automated lidar ceilometers, ALCs), vertically integrated aerosol properties from ground (sun photometer) and space, and in situ measurements (PM10 and PM2.5, relevant chemical analyses, and aerosol size distribution). During the frequent advection episodes from the Po basin, all the physical quantities observed by the instrumental setup are found to significantly increase: the scattering ratio from ALC reaches values &gt;30, aerosol optical depth (AOD) triples, surface PM10 reaches concentrations &gt;100 μg mg-3 even in rural areas, and contributions to PM10 by secondary inorganic compounds such as nitrate, ammonium, and sulfate increase up to 28 %, 8 %, and 17 %, respectively. Results also indicate that the aerosol advected from the Po Valley is hygroscopic, smaller in size, and less light-absorbing compared to the aerosol type locally emitted in the northwestern Italian Alps. In this work, the phenomenon is exemplified through detailed analysis and discussion of three case studies, selected for their clarity and relevance within the wider dataset, the latter being fully exploited in a companion paper quantifying the impact of this phenomenology over the long-term cit id 1(Diémoz et al.a href 51 2019). For the three case studies investigated, a high-resolution numerical weather prediction model (COSMO) and a Lagrangian tool (LAGRANTO) are employed to understand the meteorological mechanisms favouring transport and to demonstrate the Po Valley origin of the air masses. In addition, a chemical transport model (FARM) is used to further support the observations and to partition the contributions of local and non-local sources. Results show that the simulations are important to the understanding of the phenomenon under investigation. Ho…","author":[{"dropping-particle":"","family":"Diémoz","given":"Henri","non-dropping-particle":"","parse-names":false,"suffix":""},{"dropping-particle":"","family":"Gobbi","given":"Gian Paolo","non-dropping-particle":"","parse-names":false,"suffix":""},{"dropping-particle":"","family":"Magri","given":"Tiziana","non-dropping-particle":"","parse-names":false,"suffix":""},{"dropping-particle":"","family":"Pession","given":"Giordano","non-dropping-particle":"","parse-names":false,"suffix":""},{"dropping-particle":"","family":"Pittavino","given":"Sara","non-dropping-particle":"","parse-names":false,"suffix":""},{"dropping-particle":"","family":"Tombolato","given":"Ivan K.F.","non-dropping-particle":"","parse-names":false,"suffix":""},{"dropping-particle":"","family":"Campanelli","given":"Monica","non-dropping-particle":"","parse-names":false,"suffix":""},{"dropping-particle":"","family":"Barnaba","given":"Francesca","non-dropping-particle":"","parse-names":false,"suffix":""}],"container-title":"Atmospheric Chemistry and Physics","id":"ITEM-2","issue":"5","issued":{"date-parts":[["2019"]]},"page":"10129–10160","title":"Transport of Po Valley aerosol pollution to the northwestern Alps – Part 2: Long-term impact on air quality Henri","type":"article-journal","volume":"19"},"uris":["http://www.mendeley.com/documents/?uuid=fe1f68d3-6f0e-4717-95f1-f8e9a4739844"]}],"mendeley":{"formattedCitation":"(Diémoz, Barnaba, et al., 2019; Diémoz, Gobbi, et al., 2019)","plainTextFormattedCitation":"(Diémoz, Barnaba, et al., 2019; Diémoz, Gobbi, et al., 2019)","previouslyFormattedCitation":"(Diémoz, Barnaba, et al., 2019; Diémoz, Gobbi, et al., 2019)"},"properties":{"noteIndex":0},"schema":"https://github.com/citation-style-language/schema/raw/master/csl-citation.json"}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(Diémoz, Barnaba, et al., 2019; Diémoz, Gobbi, et al., 2019)</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w:t>
      </w:r>
      <w:r>
        <w:rPr>
          <w:rFonts w:ascii="Times New Roman" w:hAnsi="Times New Roman" w:cs="Times New Roman"/>
          <w:sz w:val="24"/>
          <w:szCs w:val="24"/>
        </w:rPr>
        <w:t xml:space="preserve"> Similarly, previous studies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{"citationItems":[{"id":"ITEM-1","itemData":{"DOI":"10.3390/atmos12020160","ISSN":"20734433","abstract":"During the COVID-19 pandemic, the lockdown reduced anthropogenic emissions of NO2 in Paris. NO2 concentrations recorded in 2020 were the lowest they have been in the past 5 years. Despite these low-NO2 levels, Paris experienced PM2.5 pollution episodes, which were investigated here based on multi-species and multi-platform measurements. Ammonia (NH3 ) measurements over Paris, derived from a mini-DOAS (differential optical absorption spectroscopy) instrument and the Infrared Atmospheric Sounding Interferometer (IASI) satellite, revealed simultaneous enhancements during the spring PM2.5 pollution episodes. Using the IASI maps and the FLEXPART model, we show that long-range transport had a statistically significant influence on the degradation of air quality in Paris. In addition, concentrations of ammonium (NH4+ ) and PM2.5 were strongly correlated for all episodes observed in springtime 2020, suggesting that transport of NH3 drove a large component of the PM2.5 pollution over Paris. We found that NH3 was not the limiting factor for the formation of ammonium nitrate (NH4 NO3 ), and we suggest that the conversion of ammonia to ammonium may have been the essential driver.","author":[{"dropping-particle":"","family":"Viatte","given":"Camille","non-dropping-particle":"","parse-names":false,"suffix":""},{"dropping-particle":"","family":"Petit","given":"Jean Eudes","non-dropping-particle":"","parse-names":false,"suffix":""},{"dropping-particle":"","family":"Yamanouchi","given":"Shoma","non-dropping-particle":"","parse-names":false,"suffix":""},{"dropping-particle":"","family":"Damme","given":"Martin","non-dropping-particle":"Van","parse-names":false,"suffix":""},{"dropping-particle":"","family":"Doucerain","given":"Carole","non-dropping-particle":"","parse-names":false,"suffix":""},{"dropping-particle":"","family":"Germain-Piaulenne","given":"Emeric","non-dropping-particle":"","parse-names":false,"suffix":""},{"dropping-particle":"","family":"Gros","given":"Valérie","non-dropping-particle":"","parse-names":false,"suffix":""},{"dropping-particle":"","family":"Favez","given":"Olivier","non-dropping-particle":"","parse-names":false,"suffix":""},{"dropping-particle":"","family":"Clarisse","given":"Lieven","non-dropping-particle":"","parse-names":false,"suffix":""},{"dropping-particle":"","family":"Coheur","given":"Pierre Francois","non-dropping-particle":"","parse-names":false,"suffix":""},{"dropping-particle":"","family":"Strong","given":"Kimberly","non-dropping-particle":"","parse-names":false,"suffix":""},{"dropping-particle":"","family":"Clerbaux","given":"Cathy","non-dropping-particle":"","parse-names":false,"suffix":""}],"container-title":"Atmosphere","id":"ITEM-1","issue":"2","issued":{"date-parts":[["2021"]]},"page":"1-18","title":"Ammonia and pm2.5 air pollution in paris during the 2020 covid lockdown","type":"article-journal","volume":"12"},"uris":["http://www.mendeley.com/documents/?uuid=35704ce0-1f58-497a-95fa-9086c2089649"]},{"id":"ITEM-2","itemData":{"DOI":"10.5194/acp-14-8813-2014","ISSN":"16807324","abstract":"The present study aims at identifying and apportioning fine aerosols to their major sources in Paris (France) - the second most populated \"larger urban zone\" in Europe - and determining their geographical origins. It is based on the daily chemical composition of PM2.5 examined over 1 year at an urban background site of Paris (Bressi et al., 2013). Positive matrix factorization (EPA PMF3.0) was used to identify and apportion fine aerosols to their sources; bootstrapping was performed to determine the adequate number of PMF factors, and statistics (root mean square error, coefficient of determination, etc.) were examined to better model PM2.5 mass and chemical components. Potential source contribution function (PSCF) and conditional probability function (CPF) allowed the geographical origins of the sources to be assessed; special attention was paid to implement suitable weighting functions. Seven factors, namely ammonium sulfate (A.S.)-rich factor, ammonium nitrate (A.N.)-rich factor, heavy oil combustion, road traffic, biomass burning, marine aerosols and metal industry, were identified; a detailed discussion of their chemical characteristics is reported. They contribute 27, 24, 17, 14, 12, 6 and 1% of PM2.5 mass (14.7 μ1/4g mg -3) respectively on the annual average; their seasonal variability is discussed. The A.S.- and A.N.-rich factors have undergone mid- or long-range transport from continental Europe; heavy oil combustion mainly stems from northern France and the English Channel, whereas road traffic and biomass burning are primarily locally emitted. Therefore, on average more than half of PM2.5 mass measured in the city of Paris is due to mid- or long-range transport of secondary aerosols stemming from continental Europe, whereas local sources only contribute a quarter of the annual averaged mass. These results imply that fine-aerosol abatement policies conducted at the local scale may not be sufficient to notably reduce PM2.5 levels at urban background sites in Paris, suggesting instead more coordinated strategies amongst neighbouring countries. Similar conclusions might be drawn in other continental urban background sites given the transboundary nature of PM2.5 pollution. © Author(s) 2014.","author":[{"dropping-particle":"","family":"Bressi","given":"M.","non-dropping-particle":"","parse-names":false,"suffix":""},{"dropping-particle":"","family":"Sciare","given":"J.","non-dropping-particle":"","parse-names":false,"suffix":""},{"dropping-particle":"","family":"Ghersi","given":"V.","non-dropping-particle":"","parse-names":false,"suffix":""},{"dropping-particle":"","family":"Mihalopoulos","given":"N.","non-dropping-particle":"","parse-names":false,"suffix":""},{"dropping-particle":"","family":"Petit","given":"J. E.","non-dropping-particle":"","parse-names":false,"suffix":""},{"dropping-particle":"","family":"Nicolas","given":"J. B.","non-dropping-particle":"","parse-names":false,"suffix":""},{"dropping-particle":"","family":"Moukhtar","given":"S.","non-dropping-particle":"","parse-names":false,"suffix":""},{"dropping-particle":"","family":"Rosso","given":"A.","non-dropping-particle":"","parse-names":false,"suffix":""},{"dropping-particle":"","family":"Féron","given":"A.","non-dropping-particle":"","parse-names":false,"suffix":""},{"dropping-particle":"","family":"Bonnaire","given":"N.","non-dropping-particle":"","parse-names":false,"suffix":""},{"dropping-particle":"","family":"Poulakis","given":"E.","non-dropping-particle":"","parse-names":false,"suffix":""},{"dropping-particle":"","family":"Theodosi","given":"C.","non-dropping-particle":"","parse-names":false,"suffix":""}],"container-title":"Atmospheric Chemistry and Physics","id":"ITEM-2","issue":"16","issued":{"date-parts":[["2014"]]},"page":"8813-8839","title":"Sources and geographical origins of fine aerosols in Paris (France)","type":"article-journal","volume":"14"},"uris":["http://www.mendeley.com/documents/?uuid=63a98c99-b43d-45c8-a727-bf1c87478b70"]},{"id":"ITEM-3","itemData":{"DOI":"10.5194/acp-10-11987-2010","ISBN":"1011987201","ISSN":"16807316","abstract":"Hourly concentrations of inorganic salts (ions) and carbonaceous material in fine aerosols (aerodynamic diameter, A.D. &lt;2.5 μm) have been determined experimentally from fast measurements performed for a 3-week period in spring 2007 in Paris (France). The sum of these two chemical components (ions and carbonaceous aerosols) has shown to account for most of the fine aerosol mass (PM2.5). This time-resolved dataset allowed investigating the factors controlling the levels of PM2.5 in Paris and showed that polluted periods with PM2.5 &gt; 15 μg mg-3 were characterized by air masses of continental (North-Western Europe) origin and chemical composition made by 75% of ions. By contrast, periods with clean marine air masses have shown the lowest PM2.5 concentrations (typically of about 10 μg mg-3); carbonaceous aerosols contributing for most of this mass (typically 75%). In order to better discriminate between local and continental contributions to the observed chemical composition and concentrations of PM2.5 over Paris, a comparative study was performed between this time-resolved dataset and the outputs of a chemistry transport model (CHIMERE), showing a relatively good capability of the model to reproduce the time-limited intense maxima observed in the field for PM2.5 and ion species. Different model scenarios were then investigated switching off local and European (North-Western and Central) emissions. Results of these scenarios have clearly shown that most of the ions observed over Paris during polluted periods, were either transported or formed in-situ from gas precursors transported from Northern Europe. On the opposite, long-range transport from Europe appeared to weakly contribute to the levels of carbonaceous aerosols observed over Paris. The model failed to properly account for the concentration levels and variability of secondary organic aerosols (SOA) determined experimentally by the EC-tracer method. The abundance of SOA (relatively to organic aerosol, OA) was as much as 75%, showing a weak dependence on air masses origin. Elevated SOA/OA ratios were also observed for air masses having residence time above ground of less than 10 h, suggesting intense emissions and/or photochemical processes leading to rapid formation of secondary organic aerosols. © 2010 Author(s).","author":[{"dropping-particle":"","family":"Sciare","given":"J.","non-dropping-particle":"","parse-names":false,"suffix":""},{"dropping-particle":"","family":"D'Argouges","given":"O.","non-dropping-particle":"","parse-names":false,"suffix":""},{"dropping-particle":"","family":"Zhang","given":"Q. J.","non-dropping-particle":"","parse-names":false,"suffix":""},{"dropping-particle":"","family":"Sarda-Estève","given":"R.","non-dropping-particle":"","parse-names":false,"suffix":""},{"dropping-particle":"","family":"Gaimoz","given":"C.","non-dropping-particle":"","parse-names":false,"suffix":""},{"dropping-particle":"","family":"Gros","given":"V.","non-dropping-particle":"","parse-names":false,"suffix":""},{"dropping-particle":"","family":"Beekmann","given":"M.","non-dropping-particle":"","parse-names":false,"suffix":""},{"dropping-particle":"","family":"Sanchez","given":"O.","non-dropping-particle":"","parse-names":false,"suffix":""}],"container-title":"Atmospheric Chemistry and Physics","id":"ITEM-3","issue":"24","issued":{"date-parts":[["2010"]]},"page":"11987-12004","title":"Comparison between simulated and observed chemical composition of fine aerosols in Paris (France) during springtime: Contribution of regional versus continental emissions","type":"article-journal","volume":"10"},"uris":["http://www.mendeley.com/documents/?uuid=bc427b00-04b4-4d1b-baa8-3741e5994aae"]}],"mendeley":{"formattedCitation":"(Bressi et al., 2014; Sciare et al., 2010; Viatte et al., 2021)","plainTextFormattedCitation":"(Bressi et al., 2014; Sciare et al., 2010; Viatte et al., 2021)","previouslyFormattedCitation":"(Bressi et al., 2014; Sciare et al., 2010; Viatte et al., 2021)"},"properties":{"noteIndex":0},"schema":"https://github.com/citation-style-language/schema/raw/master/csl-citation.json"}</w:instrText>
      </w:r>
      <w:r>
        <w:rPr>
          <w:rFonts w:ascii="Times New Roman" w:hAnsi="Times New Roman" w:cs="Times New Roman"/>
          <w:sz w:val="24"/>
          <w:szCs w:val="24"/>
        </w:rPr>
        <w:fldChar w:fldCharType="separate"/>
      </w:r>
      <w:r w:rsidRPr="0083600E">
        <w:rPr>
          <w:rFonts w:ascii="Times New Roman" w:hAnsi="Times New Roman" w:cs="Times New Roman"/>
          <w:noProof/>
          <w:sz w:val="24"/>
          <w:szCs w:val="24"/>
        </w:rPr>
        <w:t xml:space="preserve">(Bressi et al., 2014; Sciare et al., </w:t>
      </w:r>
      <w:r w:rsidRPr="0083600E">
        <w:rPr>
          <w:rFonts w:ascii="Times New Roman" w:hAnsi="Times New Roman" w:cs="Times New Roman"/>
          <w:noProof/>
          <w:sz w:val="24"/>
          <w:szCs w:val="24"/>
        </w:rPr>
        <w:lastRenderedPageBreak/>
        <w:t>2010; Viatte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D4066">
        <w:rPr>
          <w:rFonts w:ascii="Times New Roman" w:hAnsi="Times New Roman" w:cs="Times New Roman"/>
          <w:sz w:val="24"/>
          <w:szCs w:val="24"/>
        </w:rPr>
        <w:t xml:space="preserve">have </w:t>
      </w:r>
      <w:r>
        <w:rPr>
          <w:rFonts w:ascii="Times New Roman" w:hAnsi="Times New Roman" w:cs="Times New Roman"/>
          <w:sz w:val="24"/>
          <w:szCs w:val="24"/>
        </w:rPr>
        <w:t>shown</w:t>
      </w:r>
      <w:r w:rsidRPr="006D4066">
        <w:rPr>
          <w:rFonts w:ascii="Times New Roman" w:hAnsi="Times New Roman" w:cs="Times New Roman"/>
          <w:sz w:val="24"/>
          <w:szCs w:val="24"/>
        </w:rPr>
        <w:t xml:space="preserve"> that NH</w:t>
      </w:r>
      <w:r w:rsidRPr="006D4066">
        <w:rPr>
          <w:rFonts w:ascii="Times New Roman" w:hAnsi="Times New Roman" w:cs="Times New Roman"/>
          <w:sz w:val="24"/>
          <w:szCs w:val="24"/>
          <w:vertAlign w:val="subscript"/>
        </w:rPr>
        <w:t>3</w:t>
      </w:r>
      <w:r w:rsidRPr="006D4066">
        <w:rPr>
          <w:rFonts w:ascii="Times New Roman" w:hAnsi="Times New Roman" w:cs="Times New Roman"/>
          <w:sz w:val="24"/>
          <w:szCs w:val="24"/>
        </w:rPr>
        <w:t xml:space="preserve"> and PM</w:t>
      </w:r>
      <w:r w:rsidRPr="006D4066">
        <w:rPr>
          <w:rFonts w:ascii="Times New Roman" w:hAnsi="Times New Roman" w:cs="Times New Roman"/>
          <w:sz w:val="24"/>
          <w:szCs w:val="24"/>
          <w:vertAlign w:val="subscript"/>
        </w:rPr>
        <w:t xml:space="preserve">2.5 </w:t>
      </w:r>
      <w:r w:rsidRPr="006D4066">
        <w:rPr>
          <w:rFonts w:ascii="Times New Roman" w:hAnsi="Times New Roman" w:cs="Times New Roman"/>
          <w:sz w:val="24"/>
          <w:szCs w:val="24"/>
        </w:rPr>
        <w:t>originating from the northeast of France, where FR-Hes is located, have a significant impact due to long-range transport over Paris</w:t>
      </w:r>
      <w:r>
        <w:rPr>
          <w:rFonts w:ascii="Times New Roman" w:hAnsi="Times New Roman" w:cs="Times New Roman"/>
          <w:sz w:val="24"/>
          <w:szCs w:val="24"/>
        </w:rPr>
        <w:t xml:space="preserve">. Our findings are consistent with these studies, as FR-Hes is exposed to agricultural fields in the prevailing wind direction and ranked among the top four or six forest sites with the highest relative reduction in concentrations of </w:t>
      </w:r>
      <w:r w:rsidRPr="001B3A62">
        <w:rPr>
          <w:rFonts w:ascii="Times New Roman" w:hAnsi="Times New Roman" w:cs="Times New Roman"/>
          <w:sz w:val="24"/>
          <w:szCs w:val="24"/>
        </w:rPr>
        <w:t>PM</w:t>
      </w:r>
      <w:r w:rsidRPr="002B1F6A">
        <w:rPr>
          <w:rFonts w:ascii="Times New Roman" w:hAnsi="Times New Roman" w:cs="Times New Roman"/>
          <w:sz w:val="24"/>
          <w:szCs w:val="24"/>
          <w:vertAlign w:val="subscript"/>
        </w:rPr>
        <w:t>2.5</w:t>
      </w:r>
      <w:r w:rsidRPr="001B3A62">
        <w:rPr>
          <w:rFonts w:ascii="Times New Roman" w:hAnsi="Times New Roman" w:cs="Times New Roman"/>
          <w:sz w:val="24"/>
          <w:szCs w:val="24"/>
        </w:rPr>
        <w:t>, PM</w:t>
      </w:r>
      <w:r w:rsidRPr="002B1F6A">
        <w:rPr>
          <w:rFonts w:ascii="Times New Roman" w:hAnsi="Times New Roman" w:cs="Times New Roman"/>
          <w:sz w:val="24"/>
          <w:szCs w:val="24"/>
          <w:vertAlign w:val="subscript"/>
        </w:rPr>
        <w:t>10</w:t>
      </w:r>
      <w:r w:rsidRPr="001B3A62">
        <w:rPr>
          <w:rFonts w:ascii="Times New Roman" w:hAnsi="Times New Roman" w:cs="Times New Roman"/>
          <w:sz w:val="24"/>
          <w:szCs w:val="24"/>
        </w:rPr>
        <w:t xml:space="preserve"> and SO</w:t>
      </w:r>
      <w:r w:rsidRPr="002B1F6A">
        <w:rPr>
          <w:rFonts w:ascii="Times New Roman" w:hAnsi="Times New Roman" w:cs="Times New Roman"/>
          <w:sz w:val="24"/>
          <w:szCs w:val="24"/>
          <w:vertAlign w:val="subscript"/>
        </w:rPr>
        <w:t>2</w:t>
      </w:r>
      <w:r>
        <w:rPr>
          <w:rFonts w:ascii="Times New Roman" w:hAnsi="Times New Roman" w:cs="Times New Roman"/>
          <w:sz w:val="24"/>
          <w:szCs w:val="24"/>
        </w:rPr>
        <w:t xml:space="preserve">, as well as a relative increase in </w:t>
      </w:r>
      <w:r w:rsidRPr="001B3A62">
        <w:rPr>
          <w:rFonts w:ascii="Times New Roman" w:hAnsi="Times New Roman" w:cs="Times New Roman"/>
          <w:sz w:val="24"/>
          <w:szCs w:val="24"/>
        </w:rPr>
        <w:t>NH</w:t>
      </w:r>
      <w:r w:rsidRPr="002B1F6A">
        <w:rPr>
          <w:rFonts w:ascii="Times New Roman" w:hAnsi="Times New Roman" w:cs="Times New Roman"/>
          <w:sz w:val="24"/>
          <w:szCs w:val="24"/>
          <w:vertAlign w:val="subscript"/>
        </w:rPr>
        <w:t>3</w:t>
      </w:r>
      <w:r w:rsidRPr="001B3A62">
        <w:rPr>
          <w:rFonts w:ascii="Times New Roman" w:hAnsi="Times New Roman" w:cs="Times New Roman"/>
          <w:sz w:val="24"/>
          <w:szCs w:val="24"/>
        </w:rPr>
        <w:t xml:space="preserve"> concentration</w:t>
      </w:r>
      <w:r>
        <w:rPr>
          <w:rFonts w:ascii="Times New Roman" w:hAnsi="Times New Roman" w:cs="Times New Roman"/>
          <w:sz w:val="24"/>
          <w:szCs w:val="24"/>
        </w:rPr>
        <w:t>. It is important to note</w:t>
      </w:r>
      <w:r w:rsidRPr="001B3A62">
        <w:rPr>
          <w:rFonts w:ascii="Times New Roman" w:hAnsi="Times New Roman" w:cs="Times New Roman"/>
          <w:sz w:val="24"/>
          <w:szCs w:val="24"/>
        </w:rPr>
        <w:t xml:space="preserve"> that SO</w:t>
      </w:r>
      <w:r w:rsidRPr="005A2AF0">
        <w:rPr>
          <w:rFonts w:ascii="Times New Roman" w:hAnsi="Times New Roman" w:cs="Times New Roman"/>
          <w:sz w:val="24"/>
          <w:szCs w:val="24"/>
          <w:vertAlign w:val="subscript"/>
        </w:rPr>
        <w:t>2</w:t>
      </w:r>
      <w:r w:rsidRPr="001B3A62">
        <w:rPr>
          <w:rFonts w:ascii="Times New Roman" w:hAnsi="Times New Roman" w:cs="Times New Roman"/>
          <w:sz w:val="24"/>
          <w:szCs w:val="24"/>
        </w:rPr>
        <w:t xml:space="preserve"> </w:t>
      </w:r>
      <w:r>
        <w:rPr>
          <w:rFonts w:ascii="Times New Roman" w:hAnsi="Times New Roman" w:cs="Times New Roman"/>
          <w:sz w:val="24"/>
          <w:szCs w:val="24"/>
        </w:rPr>
        <w:t xml:space="preserve">oxidizes to </w:t>
      </w:r>
      <w:r w:rsidRPr="001B3A62">
        <w:rPr>
          <w:rFonts w:ascii="Times New Roman" w:hAnsi="Times New Roman" w:cs="Times New Roman"/>
          <w:sz w:val="24"/>
          <w:szCs w:val="24"/>
        </w:rPr>
        <w:t>form aerosol particles</w:t>
      </w:r>
      <w:r>
        <w:rPr>
          <w:rFonts w:ascii="Times New Roman" w:hAnsi="Times New Roman" w:cs="Times New Roman"/>
          <w:sz w:val="24"/>
          <w:szCs w:val="24"/>
        </w:rPr>
        <w:t xml:space="preserve"> containing </w:t>
      </w:r>
      <w:r w:rsidRPr="001B3A62">
        <w:rPr>
          <w:rFonts w:ascii="Times New Roman" w:hAnsi="Times New Roman" w:cs="Times New Roman"/>
          <w:sz w:val="24"/>
          <w:szCs w:val="24"/>
        </w:rPr>
        <w:t>sulphate</w:t>
      </w:r>
      <w:r>
        <w:rPr>
          <w:rFonts w:ascii="Times New Roman" w:hAnsi="Times New Roman" w:cs="Times New Roman"/>
          <w:sz w:val="24"/>
          <w:szCs w:val="24"/>
        </w:rPr>
        <w:t>.</w:t>
      </w:r>
    </w:p>
    <w:p w14:paraId="152E96FA" w14:textId="77777777" w:rsidR="00103AF5" w:rsidRDefault="00103AF5" w:rsidP="00103AF5">
      <w:pPr>
        <w:snapToGrid w:val="0"/>
        <w:spacing w:after="0" w:line="480" w:lineRule="auto"/>
        <w:ind w:firstLine="720"/>
        <w:rPr>
          <w:rFonts w:ascii="Times New Roman" w:hAnsi="Times New Roman" w:cs="Times New Roman"/>
          <w:sz w:val="24"/>
          <w:szCs w:val="24"/>
        </w:rPr>
      </w:pPr>
    </w:p>
    <w:p w14:paraId="3762C42C" w14:textId="77777777" w:rsidR="00103AF5" w:rsidRPr="00942504" w:rsidRDefault="00103AF5" w:rsidP="00103AF5">
      <w:pPr>
        <w:pStyle w:val="ListParagraph"/>
        <w:numPr>
          <w:ilvl w:val="1"/>
          <w:numId w:val="5"/>
        </w:numPr>
        <w:snapToGrid w:val="0"/>
        <w:spacing w:after="0" w:line="480" w:lineRule="auto"/>
        <w:rPr>
          <w:rFonts w:ascii="Times New Roman" w:hAnsi="Times New Roman" w:cs="Times New Roman"/>
          <w:b/>
          <w:bCs/>
          <w:sz w:val="24"/>
          <w:szCs w:val="24"/>
        </w:rPr>
      </w:pPr>
      <w:r w:rsidRPr="00942504">
        <w:rPr>
          <w:rFonts w:ascii="Times New Roman" w:hAnsi="Times New Roman" w:cs="Times New Roman"/>
          <w:b/>
          <w:bCs/>
          <w:sz w:val="24"/>
          <w:szCs w:val="24"/>
        </w:rPr>
        <w:t>Limitations and confounding effects: Timing of snow melting, lagged effects and management practices</w:t>
      </w:r>
    </w:p>
    <w:p w14:paraId="630C8D2C" w14:textId="77777777" w:rsidR="00103AF5" w:rsidRDefault="00103AF5" w:rsidP="00103AF5">
      <w:pPr>
        <w:snapToGri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One limitation of our approach is that the model simulation cannot account for all known drivers of GPP and ecosystem behaviour that occurred during the reference period. This can result in the underestimation or overestimation of GPP. For example, the timing of snow melting at continental locations or upland sites, which is not considered </w:t>
      </w:r>
      <w:r w:rsidRPr="00543B2F">
        <w:rPr>
          <w:rFonts w:ascii="Times New Roman" w:eastAsia="Times New Roman" w:hAnsi="Times New Roman" w:cs="Times New Roman"/>
          <w:sz w:val="24"/>
          <w:szCs w:val="24"/>
        </w:rPr>
        <w:t>in the model</w:t>
      </w:r>
      <w:r>
        <w:rPr>
          <w:rFonts w:ascii="Times New Roman" w:eastAsia="Times New Roman" w:hAnsi="Times New Roman" w:cs="Times New Roman"/>
          <w:sz w:val="24"/>
          <w:szCs w:val="24"/>
        </w:rPr>
        <w:t>s</w:t>
      </w:r>
      <w:r w:rsidRPr="00543B2F">
        <w:rPr>
          <w:rFonts w:ascii="Times New Roman" w:eastAsia="Times New Roman" w:hAnsi="Times New Roman" w:cs="Times New Roman"/>
          <w:sz w:val="24"/>
          <w:szCs w:val="24"/>
        </w:rPr>
        <w:t>, likely c</w:t>
      </w:r>
      <w:r>
        <w:rPr>
          <w:rFonts w:ascii="Times New Roman" w:eastAsia="Times New Roman" w:hAnsi="Times New Roman" w:cs="Times New Roman"/>
          <w:sz w:val="24"/>
          <w:szCs w:val="24"/>
        </w:rPr>
        <w:t>ontributes to</w:t>
      </w:r>
      <w:r w:rsidRPr="00543B2F">
        <w:rPr>
          <w:rFonts w:ascii="Times New Roman" w:eastAsia="Times New Roman" w:hAnsi="Times New Roman" w:cs="Times New Roman"/>
          <w:sz w:val="24"/>
          <w:szCs w:val="24"/>
        </w:rPr>
        <w:t xml:space="preserve"> the divergence</w:t>
      </w:r>
      <w:r>
        <w:rPr>
          <w:rFonts w:ascii="Times New Roman" w:eastAsia="Times New Roman" w:hAnsi="Times New Roman" w:cs="Times New Roman"/>
          <w:sz w:val="24"/>
          <w:szCs w:val="24"/>
        </w:rPr>
        <w:t xml:space="preserve"> observed</w:t>
      </w:r>
      <w:r w:rsidRPr="00543B2F">
        <w:rPr>
          <w:rFonts w:ascii="Times New Roman" w:eastAsia="Times New Roman" w:hAnsi="Times New Roman" w:cs="Times New Roman"/>
          <w:sz w:val="24"/>
          <w:szCs w:val="24"/>
        </w:rPr>
        <w:t xml:space="preserve"> over nearly the entire duration of spring 2020</w:t>
      </w:r>
      <w:r>
        <w:rPr>
          <w:rFonts w:ascii="Times New Roman" w:eastAsia="Times New Roman" w:hAnsi="Times New Roman" w:cs="Times New Roman"/>
          <w:sz w:val="24"/>
          <w:szCs w:val="24"/>
        </w:rPr>
        <w:t xml:space="preserve"> for CH-Aws and IT-Tor (</w:t>
      </w:r>
      <w:r w:rsidRPr="00942504">
        <w:rPr>
          <w:rFonts w:ascii="Times New Roman" w:eastAsia="Times New Roman" w:hAnsi="Times New Roman" w:cs="Times New Roman"/>
          <w:i/>
          <w:iCs/>
          <w:sz w:val="24"/>
          <w:szCs w:val="24"/>
        </w:rPr>
        <w:t>R</w:t>
      </w:r>
      <w:r w:rsidRPr="00942504">
        <w:rPr>
          <w:rFonts w:ascii="Times New Roman" w:eastAsia="Times New Roman" w:hAnsi="Times New Roman" w:cs="Times New Roman"/>
          <w:i/>
          <w:iCs/>
          <w:sz w:val="24"/>
          <w:szCs w:val="24"/>
          <w:vertAlign w:val="superscript"/>
        </w:rPr>
        <w:t>2</w:t>
      </w:r>
      <w:r w:rsidRPr="00942504">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&lt; 0.53, NRMSE &lt; 32%). </w:t>
      </w:r>
      <w:r>
        <w:rPr>
          <w:rFonts w:ascii="Times New Roman" w:hAnsi="Times New Roman" w:cs="Times New Roman"/>
          <w:sz w:val="24"/>
          <w:szCs w:val="24"/>
        </w:rPr>
        <w:t>S</w:t>
      </w:r>
      <w:r w:rsidRPr="004F3E51">
        <w:rPr>
          <w:rFonts w:ascii="Times New Roman" w:hAnsi="Times New Roman" w:cs="Times New Roman"/>
          <w:sz w:val="24"/>
          <w:szCs w:val="24"/>
        </w:rPr>
        <w:t xml:space="preserve">now cover </w:t>
      </w:r>
      <w:r>
        <w:rPr>
          <w:rFonts w:ascii="Times New Roman" w:hAnsi="Times New Roman" w:cs="Times New Roman"/>
          <w:sz w:val="24"/>
          <w:szCs w:val="24"/>
        </w:rPr>
        <w:t xml:space="preserve">is a critical factor that affects the </w:t>
      </w:r>
      <w:r w:rsidRPr="004F3E51">
        <w:rPr>
          <w:rFonts w:ascii="Times New Roman" w:hAnsi="Times New Roman" w:cs="Times New Roman"/>
          <w:sz w:val="24"/>
          <w:szCs w:val="24"/>
        </w:rPr>
        <w:t xml:space="preserve">phenology and productivity </w:t>
      </w:r>
      <w:r>
        <w:rPr>
          <w:rFonts w:ascii="Times New Roman" w:hAnsi="Times New Roman" w:cs="Times New Roman"/>
          <w:sz w:val="24"/>
          <w:szCs w:val="24"/>
        </w:rPr>
        <w:t xml:space="preserve">of high-altitude vegetation </w:t>
      </w:r>
      <w:r w:rsidRPr="004F3E51">
        <w:rPr>
          <w:rFonts w:ascii="Times New Roman" w:hAnsi="Times New Roman" w:cs="Times New Roman"/>
          <w:sz w:val="24"/>
          <w:szCs w:val="24"/>
        </w:rPr>
        <w:t xml:space="preserve">in the European Alps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{"citationItems":[{"id":"ITEM-1","itemData":{"DOI":"10.1002/2016JG003728","ISSN":"21698961","abstract":"Snow cover impacts alpine land surface phenology in various ways, but our knowledge about the effect of snow cover on alpine land surface phenology is still limited. We studied this relationship in the European Alps using satellite-derived metrics of snow cover phenology (SCP), namely, first snow fall, last snow day, and snow cover duration (SCD), in combination with land surface phenology (LSP), namely, start of season (SOS), end of season, and length of season (LOS) for the period of 2003–2014. We tested the dependency of interannual differences (Δ) of SCP and LSP metrics with altitude (up to 3000 m above sea level) for seven natural vegetation types, four main climatic subregions, and four terrain expositions. We found that 25.3% of all pixels showed significant (p &lt; 0.05) correlation between ΔSCD and ΔSOS and 15.3% between ΔSCD and ΔLOS across the entire study area. Correlations between ΔSCD and ΔSOS as well as ΔSCD and ΔLOS are more pronounced in the northern subregions of the Alps, at high altitudes, and on north and west facing terrain—or more generally, in regions with longer SCD. We conclude that snow cover has a greater effect on alpine phenology at higher than at lower altitudes, which may be attributed to the coupled influence of snow cover with underground conditions and air temperature. Alpine ecosystems may therefore be particularly sensitive to future change of snow cover at high altitudes under climate warming scenarios.","author":[{"dropping-particle":"","family":"Xie","given":"Jing","non-dropping-particle":"","parse-names":false,"suffix":""},{"dropping-particle":"","family":"Kneubühler","given":"Mathias","non-dropping-particle":"","parse-names":false,"suffix":""},{"dropping-particle":"","family":"Garonna","given":"Irene","non-dropping-particle":"","parse-names":false,"suffix":""},{"dropping-particle":"","family":"Notarnicola","given":"Claudia","non-dropping-particle":"","parse-names":false,"suffix":""},{"dropping-particle":"","family":"Gregorio","given":"Ludovica","non-dropping-particle":"De","parse-names":false,"suffix":""},{"dropping-particle":"","family":"Jong","given":"Rogier","non-dropping-particle":"De","parse-names":false,"suffix":""},{"dropping-particle":"","family":"Chimani","given":"Barbara","non-dropping-particle":"","parse-names":false,"suffix":""},{"dropping-particle":"","family":"Schaepman","given":"Michael E.","non-dropping-particle":"","parse-names":false,"suffix":""}],"container-title":"Journal of Geophysical Research: Biogeosciences","id":"ITEM-1","issue":"5","issued":{"date-parts":[["2017"]]},"page":"1107-1122","title":"Altitude-dependent influence of snow cover on alpine land surface phenology","type":"article-journal","volume":"122"},"uris":["http://www.mendeley.com/documents/?uuid=5b98d985-c825-4afc-ad1e-03a1da0a1223"]},{"id":"ITEM-2","itemData":{"DOI":"10.5194/bg-12-3885-2015","ISSN":"17264189","abstract":"A remote sensing approach is used to examine the direct and indirect effects of snow cover duration and weather conditions on the growth response of mountain grasslands located above the tree line in the French Alps. Time-integrated Normalized Difference Vegetation Index (NDVIint), used as a surrogate for aboveground primary productivity, and snow cover duration were derived from a 13-year long time series of the Moderate-resolution Imaging Spectroradiometer (MODIS). A regional-scale meteorological forcing that accounted for topographical effects was provided by the SAFRAN-CROCUS-MEPRA model chain. A hierarchical path analysis was developed to analyze the multivariate causal relationships between forcing variables and proxies of primary productivity. Inter-annual variations in primary productivity were primarily governed by year-to-year variations in the length of the snow-free period and to a much lesser extent by temperature and precipitation during the growing season. A prolonged snow cover reduces the number and magnitude of frost events during the initial growth period but this has a negligible impact on NDVIint as compared to the strong negative effect of a delayed snow melting. The maximum NDVI slightly responded to increased summer precipitation and temperature but the impact on productivity was weak. The period spanning from peak standing biomass to the first snowfall accounted for two-thirds of NDVIint and this explained the high sensitivity of NDVIint to autumn temperature and autumn rainfall that control the timing of the first snowfall. The ability of mountain plants to maintain green tissues during the whole snow-free period along with the relatively low responsiveness of peak standing biomass to summer meteorological conditions led to the conclusion that the length of the snow-free period is the primary driver of the inter-annual variations in primary productivity of mountain grasslands.","author":[{"dropping-particle":"","family":"Choler","given":"P.","non-dropping-particle":"","parse-names":false,"suffix":""}],"container-title":"Biogeosciences","id":"ITEM-2","issue":"12","issued":{"date-parts":[["2015"]]},"page":"3885-3897","title":"Growth response of temperate mountain grasslands to inter-annual variations in snow cover duration","type":"article-journal","volume":"12"},"uris":["http://www.mendeley.com/documents/?uuid=ca245653-01cc-4690-ad81-8134edaf252a"]}],"mendeley":{"formattedCitation":"(Choler, 2015; Xie et al., 2017)","plainTextFormattedCitation":"(Choler, 2015; Xie et al., 2017)","previouslyFormattedCitation":"(Choler, 2015; Xie et al., 2017)"},"properties":{"noteIndex":0},"schema":"https://github.com/citation-style-language/schema/raw/master/csl-citation.json"}</w:instrText>
      </w:r>
      <w:r w:rsidRPr="004F3E51">
        <w:rPr>
          <w:rFonts w:ascii="Times New Roman" w:hAnsi="Times New Roman" w:cs="Times New Roman"/>
          <w:sz w:val="24"/>
          <w:szCs w:val="24"/>
        </w:rPr>
        <w:fldChar w:fldCharType="separate"/>
      </w:r>
      <w:r w:rsidRPr="006A1D0A">
        <w:rPr>
          <w:rFonts w:ascii="Times New Roman" w:hAnsi="Times New Roman" w:cs="Times New Roman"/>
          <w:noProof/>
          <w:sz w:val="24"/>
          <w:szCs w:val="24"/>
        </w:rPr>
        <w:t>(Choler, 2015; Xie et al., 2017)</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xml:space="preserve">. The anomalous warm winter 2019-2020 </w:t>
      </w:r>
      <w:r>
        <w:rPr>
          <w:rFonts w:ascii="Times New Roman" w:hAnsi="Times New Roman" w:cs="Times New Roman"/>
          <w:sz w:val="24"/>
          <w:szCs w:val="24"/>
        </w:rPr>
        <w:t xml:space="preserve">at these sites </w:t>
      </w:r>
      <w:r w:rsidRPr="004F3E51">
        <w:rPr>
          <w:rFonts w:ascii="Times New Roman" w:hAnsi="Times New Roman" w:cs="Times New Roman"/>
          <w:sz w:val="24"/>
          <w:szCs w:val="24"/>
        </w:rPr>
        <w:t>(</w:t>
      </w:r>
      <w:r w:rsidRPr="00953015">
        <w:rPr>
          <w:rFonts w:ascii="Times New Roman" w:hAnsi="Times New Roman" w:cs="Times New Roman"/>
          <w:sz w:val="24"/>
          <w:szCs w:val="24"/>
        </w:rPr>
        <w:t>T</w:t>
      </w:r>
      <w:r w:rsidRPr="00953015">
        <w:rPr>
          <w:rFonts w:ascii="Times New Roman" w:hAnsi="Times New Roman" w:cs="Times New Roman"/>
          <w:sz w:val="24"/>
          <w:szCs w:val="24"/>
          <w:vertAlign w:val="subscript"/>
        </w:rPr>
        <w:t>a</w:t>
      </w:r>
      <w:r w:rsidRPr="004F3E51">
        <w:rPr>
          <w:rFonts w:ascii="Times New Roman" w:hAnsi="Times New Roman" w:cs="Times New Roman"/>
          <w:sz w:val="24"/>
          <w:szCs w:val="24"/>
        </w:rPr>
        <w:t>: +1.7 ± 0.39</w:t>
      </w:r>
      <w:r w:rsidRPr="004F3E51">
        <w:rPr>
          <w:rFonts w:ascii="Times New Roman" w:hAnsi="Times New Roman" w:cs="Times New Roman"/>
          <w:sz w:val="24"/>
          <w:szCs w:val="24"/>
          <w:vertAlign w:val="superscript"/>
        </w:rPr>
        <w:t xml:space="preserve"> </w:t>
      </w:r>
      <w:r w:rsidRPr="004F3E51">
        <w:rPr>
          <w:rFonts w:ascii="Times New Roman" w:hAnsi="Times New Roman" w:cs="Times New Roman"/>
          <w:sz w:val="24"/>
          <w:szCs w:val="24"/>
        </w:rPr>
        <w:t xml:space="preserve">⁰C, +58%, </w:t>
      </w:r>
      <w:r w:rsidRPr="004F3E51">
        <w:rPr>
          <w:rFonts w:ascii="Times New Roman" w:hAnsi="Times New Roman" w:cs="Times New Roman"/>
          <w:i/>
          <w:iCs/>
          <w:sz w:val="24"/>
          <w:szCs w:val="24"/>
        </w:rPr>
        <w:t>p</w:t>
      </w:r>
      <w:r w:rsidRPr="004F3E51">
        <w:rPr>
          <w:rFonts w:ascii="Times New Roman" w:hAnsi="Times New Roman" w:cs="Times New Roman"/>
          <w:sz w:val="24"/>
          <w:szCs w:val="24"/>
        </w:rPr>
        <w:t xml:space="preserve"> &lt; .001) r</w:t>
      </w:r>
      <w:r>
        <w:rPr>
          <w:rFonts w:ascii="Times New Roman" w:hAnsi="Times New Roman" w:cs="Times New Roman"/>
          <w:sz w:val="24"/>
          <w:szCs w:val="24"/>
        </w:rPr>
        <w:t>esulted in less</w:t>
      </w:r>
      <w:r w:rsidRPr="004F3E51">
        <w:rPr>
          <w:rFonts w:ascii="Times New Roman" w:hAnsi="Times New Roman" w:cs="Times New Roman"/>
          <w:sz w:val="24"/>
          <w:szCs w:val="24"/>
        </w:rPr>
        <w:t xml:space="preserve"> snowfall and earlier spring melts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{"citationItems":[{"id":"ITEM-1","itemData":{"DOI":"10.1038/nature04141","ISSN":"14764687","PMID":"16292301","abstract":"All currently available climate models predict a near-surface warming trend under the influence of rising levels of greenhouse gases in the atmosphere. In addition to the direct effects on climate-for example, on the frequency of heatwaves-this increase in surface temperatures has important consequences for the hydrological cycle, particularly in regions where water supply is currently dominated by melting snow or ice. In a warmer world, less winter precipitation falls as snow and the melting of winter snow occurs earlier in spring. Even without any changes in precipitation intensity, both of these effects lead to a shift in peak river runoff to winter and early spring, away from summer and autumn when demand is highest. Where storage capacities are not sufficient, much of the winter runoff will immediately be lost to the oceans. With more than one-sixth of the Earth's population relying on glaciers and seasonal snow packs for their water supply, the consequences of these hydrological changes for future water availability-predicted with high confidence and already diagnosed in some regions-are likely to be severe. © 2005 Nature Publishing Group.","author":[{"dropping-particle":"","family":"Barnett","given":"T. P.","non-dropping-particle":"","parse-names":false,"suffix":""},{"dropping-particle":"","family":"Adam","given":"J. C.","non-dropping-particle":"","parse-names":false,"suffix":""},{"dropping-particle":"","family":"Lettenmaier","given":"D. P.","non-dropping-particle":"","parse-names":false,"suffix":""}],"container-title":"Nature","id":"ITEM-1","issue":"7066","issued":{"date-parts":[["2005"]]},"page":"303-309","title":"Potential impacts of a warming climate on water availability in snow-dominated regions","type":"article-journal","volume":"438"},"uris":["http://www.mendeley.com/documents/?uuid=6da63af1-89e1-461c-8351-63441d398a9f"]}],"mendeley":{"formattedCitation":"(Barnett, Adam, &amp; Lettenmaier, 2005)","plainTextFormattedCitation":"(Barnett, Adam, &amp; Lettenmaier, 2005)","previouslyFormattedCitation":"(Barnett, Adam, &amp; Lettenmaier, 2005)"},"properties":{"noteIndex":0},"schema":"https://github.com/citation-style-language/schema/raw/master/csl-citation.json"}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(Barnett, Adam, &amp; Lettenmaier, 2005)</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 th</w:t>
      </w:r>
      <w:r>
        <w:rPr>
          <w:rFonts w:ascii="Times New Roman" w:hAnsi="Times New Roman" w:cs="Times New Roman"/>
          <w:sz w:val="24"/>
          <w:szCs w:val="24"/>
        </w:rPr>
        <w:t>us</w:t>
      </w:r>
      <w:r w:rsidRPr="004F3E51">
        <w:rPr>
          <w:rFonts w:ascii="Times New Roman" w:hAnsi="Times New Roman" w:cs="Times New Roman"/>
          <w:sz w:val="24"/>
          <w:szCs w:val="24"/>
        </w:rPr>
        <w:t xml:space="preserve"> advancing the</w:t>
      </w:r>
      <w:r>
        <w:rPr>
          <w:rFonts w:ascii="Times New Roman" w:hAnsi="Times New Roman" w:cs="Times New Roman"/>
          <w:sz w:val="24"/>
          <w:szCs w:val="24"/>
        </w:rPr>
        <w:t xml:space="preserve"> onset</w:t>
      </w:r>
      <w:r w:rsidRPr="004F3E51">
        <w:rPr>
          <w:rFonts w:ascii="Times New Roman" w:hAnsi="Times New Roman" w:cs="Times New Roman"/>
          <w:sz w:val="24"/>
          <w:szCs w:val="24"/>
        </w:rPr>
        <w:t xml:space="preserve"> of the growing season and </w:t>
      </w:r>
      <w:r>
        <w:rPr>
          <w:rFonts w:ascii="Times New Roman" w:hAnsi="Times New Roman" w:cs="Times New Roman"/>
          <w:sz w:val="24"/>
          <w:szCs w:val="24"/>
        </w:rPr>
        <w:t>extending</w:t>
      </w:r>
      <w:r w:rsidRPr="004F3E51">
        <w:rPr>
          <w:rFonts w:ascii="Times New Roman" w:hAnsi="Times New Roman" w:cs="Times New Roman"/>
          <w:sz w:val="24"/>
          <w:szCs w:val="24"/>
        </w:rPr>
        <w:t xml:space="preserve"> the carbon uptake period in spring</w:t>
      </w:r>
      <w:r>
        <w:rPr>
          <w:rFonts w:ascii="Times New Roman" w:hAnsi="Times New Roman" w:cs="Times New Roman"/>
          <w:sz w:val="24"/>
          <w:szCs w:val="24"/>
        </w:rPr>
        <w:t xml:space="preserve"> </w:t>
      </w:r>
      <w:r w:rsidRPr="004F3E5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{"citationItems":[{"id":"ITEM-1","itemData":{"DOI":"10.1088/1748-9326/11/2/024013","ISSN":"17489326","abstract":"Regional ecosystem productivity is highly sensitive to inter-annual climate variability, both within and outside the primary carbon uptake period. However, Earth system models lack sufficient spatial scales and ecosystem processes to resolve how these processes may change in a warming climate. Here, we show, how for the European Alps, mid-latitude Atlantic ocean winter circulation anomalies drive high-altitude summer forest and grassland productivity, through feedbacks among orographic wind circulation patterns, snowfall, winter and spring temperatures, and vegetation activity. Therefore, to understand future global climate change influence to regional ecosystem productivity, Earth systems models need to focus on improvements towards topographic downscaling of changes in regional atmospheric circulation patterns and to lagged responses in vegetation dynamics to non-growing season climate anomalies.","author":[{"dropping-particle":"","family":"Desai","given":"A. R.","non-dropping-particle":"","parse-names":false,"suffix":""},{"dropping-particle":"","family":"Wohlfahrt","given":"G.","non-dropping-particle":"","parse-names":false,"suffix":""},{"dropping-particle":"","family":"Zeeman","given":"M. J.","non-dropping-particle":"","parse-names":false,"suffix":""},{"dropping-particle":"","family":"Katata","given":"G.","non-dropping-particle":"","parse-names":false,"suffix":""},{"dropping-particle":"","family":"Eugster","given":"W.","non-dropping-particle":"","parse-names":false,"suffix":""},{"dropping-particle":"","family":"Montagnani","given":"L.","non-dropping-particle":"","parse-names":false,"suffix":""},{"dropping-particle":"","family":"Gianelle","given":"D.","non-dropping-particle":"","parse-names":false,"suffix":""},{"dropping-particle":"","family":"Mauder","given":"M.","non-dropping-particle":"","parse-names":false,"suffix":""},{"dropping-particle":"","family":"Schmid","given":"H. P.","non-dropping-particle":"","parse-names":false,"suffix":""}],"container-title":"Environmental Research Letters","id":"ITEM-1","issue":"2","issued":{"date-parts":[["2016"]]},"publisher":"IOP Publishing","title":"Montane ecosystem productivity responds more to global circulation patterns than climatic trends","type":"article-journal","volume":"11"},"uris":["http://www.mendeley.com/documents/?uuid=8ca49950-ed73-4be2-be2a-0a3bb538d07f"]}],"mendeley":{"formattedCitation":"(Desai et al., 2016)","plainTextFormattedCitation":"(Desai et al., 2016)","previouslyFormattedCitation":"(Desai et al., 2016)"},"properties":{"noteIndex":0},"schema":"https://github.com/citation-style-language/schema/raw/master/csl-citation.json"}</w:instrText>
      </w:r>
      <w:r w:rsidRPr="004F3E51">
        <w:rPr>
          <w:rFonts w:ascii="Times New Roman" w:hAnsi="Times New Roman" w:cs="Times New Roman"/>
          <w:sz w:val="24"/>
          <w:szCs w:val="24"/>
        </w:rPr>
        <w:fldChar w:fldCharType="separate"/>
      </w:r>
      <w:r w:rsidRPr="00045A1D">
        <w:rPr>
          <w:rFonts w:ascii="Times New Roman" w:hAnsi="Times New Roman" w:cs="Times New Roman"/>
          <w:noProof/>
          <w:sz w:val="24"/>
          <w:szCs w:val="24"/>
        </w:rPr>
        <w:t>(Desai et al., 2016)</w:t>
      </w:r>
      <w:r w:rsidRPr="004F3E51">
        <w:rPr>
          <w:rFonts w:ascii="Times New Roman" w:hAnsi="Times New Roman" w:cs="Times New Roman"/>
          <w:sz w:val="24"/>
          <w:szCs w:val="24"/>
        </w:rPr>
        <w:fldChar w:fldCharType="end"/>
      </w:r>
      <w:r w:rsidRPr="004F3E51">
        <w:rPr>
          <w:rFonts w:ascii="Times New Roman" w:hAnsi="Times New Roman" w:cs="Times New Roman"/>
          <w:sz w:val="24"/>
          <w:szCs w:val="24"/>
        </w:rPr>
        <w:t>.</w:t>
      </w:r>
      <w:r>
        <w:rPr>
          <w:rFonts w:ascii="Times New Roman" w:hAnsi="Times New Roman" w:cs="Times New Roman"/>
          <w:sz w:val="24"/>
          <w:szCs w:val="24"/>
        </w:rPr>
        <w:t xml:space="preserve"> </w:t>
      </w:r>
    </w:p>
    <w:p w14:paraId="7390ABDF" w14:textId="77777777" w:rsidR="00103AF5" w:rsidRDefault="00103AF5" w:rsidP="00103AF5">
      <w:pPr>
        <w:snapToGrid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the warm winter experienced in Europe during 2019-2020, as reported by the </w:t>
      </w:r>
      <w:r w:rsidRPr="00AA479C">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{"citationItems":[{"id":"ITEM-1","itemData":{"URL":"https://climate.copernicus.eu/copernicus-2020-warmest-year-record-europe-globally-2020-ties-2016-warmest-year-recorded","container-title":"Copernicus Climate Change Service","id":"ITEM-1","issued":{"date-parts":[["2021"]]},"title":"Copernicus: 2020 warmest year on record for Europe; globally, 2020 ties with 2016 for warmest year recorded","type":"webpage"},"uris":["http://www.mendeley.com/documents/?uuid=4f32ec54-702d-48cf-b357-9c5e98053b8b"]}],"mendeley":{"formattedCitation":"(“Copernicus: 2020 warmest year on record for Europe; globally, 2020 ties with 2016 for warmest year recorded,” 2021)","manualFormatting":"Copernicus Climate Change Service (2021)","plainTextFormattedCitation":"(“Copernicus: 2020 warmest year on record for Europe; globally, 2020 ties with 2016 for warmest year recorded,” 2021)","previouslyFormattedCitation":"(“Copernicus: 2020 warmest year on record for Europe; globally, 2020 ties with 2016 for warmest year recorded,” 2021)"},"properties":{"noteIndex":0},"schema":"https://github.com/citation-style-language/schema/raw/master/csl-citation.json"}</w:instrText>
      </w:r>
      <w:r w:rsidRPr="00AA479C">
        <w:rPr>
          <w:rFonts w:ascii="Times New Roman" w:eastAsia="Times New Roman" w:hAnsi="Times New Roman" w:cs="Times New Roman"/>
          <w:sz w:val="24"/>
          <w:szCs w:val="24"/>
        </w:rPr>
        <w:fldChar w:fldCharType="separate"/>
      </w:r>
      <w:r w:rsidRPr="00AA479C">
        <w:rPr>
          <w:rFonts w:ascii="Times New Roman" w:hAnsi="Times New Roman" w:cs="Times New Roman"/>
          <w:iCs/>
          <w:noProof/>
          <w:sz w:val="24"/>
          <w:szCs w:val="24"/>
        </w:rPr>
        <w:t>Copernicus Climate Change Service</w:t>
      </w:r>
      <w:r>
        <w:rPr>
          <w:rFonts w:ascii="Times New Roman" w:eastAsia="Times New Roman" w:hAnsi="Times New Roman" w:cs="Times New Roman"/>
          <w:noProof/>
          <w:sz w:val="24"/>
          <w:szCs w:val="24"/>
        </w:rPr>
        <w:t xml:space="preserve"> (</w:t>
      </w:r>
      <w:r w:rsidRPr="00AA479C">
        <w:rPr>
          <w:rFonts w:ascii="Times New Roman" w:eastAsia="Times New Roman" w:hAnsi="Times New Roman" w:cs="Times New Roman"/>
          <w:noProof/>
          <w:sz w:val="24"/>
          <w:szCs w:val="24"/>
        </w:rPr>
        <w:t>2021)</w:t>
      </w:r>
      <w:r w:rsidRPr="00AA479C">
        <w:rPr>
          <w:rFonts w:ascii="Times New Roman" w:eastAsia="Times New Roman" w:hAnsi="Times New Roman" w:cs="Times New Roman"/>
          <w:sz w:val="24"/>
          <w:szCs w:val="24"/>
        </w:rPr>
        <w:fldChar w:fldCharType="end"/>
      </w:r>
      <w:r w:rsidRPr="00AA479C">
        <w:rPr>
          <w:rFonts w:ascii="Times New Roman" w:eastAsia="Times New Roman" w:hAnsi="Times New Roman" w:cs="Times New Roman"/>
          <w:sz w:val="24"/>
          <w:szCs w:val="24"/>
        </w:rPr>
        <w:t xml:space="preserve"> had a strong impact on the </w:t>
      </w:r>
      <w:r>
        <w:rPr>
          <w:rFonts w:ascii="Times New Roman" w:eastAsia="Times New Roman" w:hAnsi="Times New Roman" w:cs="Times New Roman"/>
          <w:sz w:val="24"/>
          <w:szCs w:val="24"/>
        </w:rPr>
        <w:t xml:space="preserve">GPP during the following spring </w:t>
      </w:r>
      <w:r w:rsidRPr="00AA479C">
        <w:rPr>
          <w:rFonts w:ascii="Times New Roman" w:eastAsia="Times New Roman" w:hAnsi="Times New Roman" w:cs="Times New Roman"/>
          <w:sz w:val="24"/>
          <w:szCs w:val="24"/>
        </w:rPr>
        <w:t xml:space="preserve">at </w:t>
      </w:r>
      <w:r>
        <w:rPr>
          <w:rFonts w:ascii="Times New Roman" w:eastAsia="Times New Roman" w:hAnsi="Times New Roman" w:cs="Times New Roman"/>
          <w:sz w:val="24"/>
          <w:szCs w:val="24"/>
        </w:rPr>
        <w:t>two M</w:t>
      </w:r>
      <w:r w:rsidRPr="00624F1D">
        <w:rPr>
          <w:rFonts w:ascii="Times New Roman" w:eastAsia="Times New Roman" w:hAnsi="Times New Roman" w:cs="Times New Roman"/>
          <w:sz w:val="24"/>
          <w:szCs w:val="24"/>
        </w:rPr>
        <w:t>editerranean</w:t>
      </w:r>
      <w:r>
        <w:rPr>
          <w:rFonts w:ascii="Times New Roman" w:eastAsia="Times New Roman" w:hAnsi="Times New Roman" w:cs="Times New Roman"/>
          <w:sz w:val="24"/>
          <w:szCs w:val="24"/>
        </w:rPr>
        <w:t xml:space="preserve"> sites (FR-FBn and IT-Cp2)</w:t>
      </w:r>
      <w:r w:rsidRPr="00AA479C">
        <w:rPr>
          <w:rFonts w:ascii="Times New Roman" w:eastAsia="Times New Roman" w:hAnsi="Times New Roman" w:cs="Times New Roman"/>
          <w:sz w:val="24"/>
          <w:szCs w:val="24"/>
        </w:rPr>
        <w:t xml:space="preserve"> (</w:t>
      </w:r>
      <w:r w:rsidRPr="003B079F">
        <w:rPr>
          <w:rFonts w:ascii="Times New Roman" w:eastAsia="Times New Roman" w:hAnsi="Times New Roman" w:cs="Times New Roman"/>
          <w:sz w:val="24"/>
          <w:szCs w:val="24"/>
          <w:lang w:val="en-US"/>
        </w:rPr>
        <w:t>Fig. S</w:t>
      </w:r>
      <w:r>
        <w:rPr>
          <w:rFonts w:ascii="Times New Roman" w:eastAsia="Times New Roman" w:hAnsi="Times New Roman" w:cs="Times New Roman"/>
          <w:sz w:val="24"/>
          <w:szCs w:val="24"/>
        </w:rPr>
        <w:t>4</w:t>
      </w:r>
      <w:r w:rsidRPr="00AA479C">
        <w:rPr>
          <w:rFonts w:ascii="Times New Roman" w:eastAsia="Times New Roman" w:hAnsi="Times New Roman" w:cs="Times New Roman"/>
          <w:sz w:val="24"/>
          <w:szCs w:val="24"/>
        </w:rPr>
        <w:t>). Th</w:t>
      </w:r>
      <w:r>
        <w:rPr>
          <w:rFonts w:ascii="Times New Roman" w:eastAsia="Times New Roman" w:hAnsi="Times New Roman" w:cs="Times New Roman"/>
          <w:sz w:val="24"/>
          <w:szCs w:val="24"/>
        </w:rPr>
        <w:t xml:space="preserve">is </w:t>
      </w:r>
      <w:r w:rsidRPr="00AA479C">
        <w:rPr>
          <w:rFonts w:ascii="Times New Roman" w:eastAsia="Times New Roman" w:hAnsi="Times New Roman" w:cs="Times New Roman"/>
          <w:sz w:val="24"/>
          <w:szCs w:val="24"/>
        </w:rPr>
        <w:t xml:space="preserve">extended warming effect </w:t>
      </w:r>
      <w:r>
        <w:rPr>
          <w:rFonts w:ascii="Times New Roman" w:eastAsia="Times New Roman" w:hAnsi="Times New Roman" w:cs="Times New Roman"/>
          <w:sz w:val="24"/>
          <w:szCs w:val="24"/>
        </w:rPr>
        <w:t xml:space="preserve">made it difficult to use the </w:t>
      </w:r>
      <w:r w:rsidRPr="00AA479C">
        <w:rPr>
          <w:rFonts w:ascii="Times New Roman" w:eastAsia="Times New Roman" w:hAnsi="Times New Roman" w:cs="Times New Roman"/>
          <w:sz w:val="24"/>
          <w:szCs w:val="24"/>
        </w:rPr>
        <w:t>reference spring data to</w:t>
      </w:r>
      <w:r>
        <w:rPr>
          <w:rFonts w:ascii="Times New Roman" w:eastAsia="Times New Roman" w:hAnsi="Times New Roman" w:cs="Times New Roman"/>
          <w:sz w:val="24"/>
          <w:szCs w:val="24"/>
        </w:rPr>
        <w:t xml:space="preserve"> accurately</w:t>
      </w:r>
      <w:r w:rsidRPr="00AA479C">
        <w:rPr>
          <w:rFonts w:ascii="Times New Roman" w:eastAsia="Times New Roman" w:hAnsi="Times New Roman" w:cs="Times New Roman"/>
          <w:sz w:val="24"/>
          <w:szCs w:val="24"/>
        </w:rPr>
        <w:t xml:space="preserve"> predict </w:t>
      </w:r>
      <w:r w:rsidRPr="00AA479C">
        <w:rPr>
          <w:rFonts w:ascii="Times New Roman" w:eastAsia="Times New Roman" w:hAnsi="Times New Roman" w:cs="Times New Roman"/>
          <w:sz w:val="24"/>
          <w:szCs w:val="24"/>
        </w:rPr>
        <w:lastRenderedPageBreak/>
        <w:t xml:space="preserve">the 2020 spring GPP, resulting in a </w:t>
      </w:r>
      <w:r>
        <w:rPr>
          <w:rFonts w:ascii="Times New Roman" w:eastAsia="Times New Roman" w:hAnsi="Times New Roman" w:cs="Times New Roman"/>
          <w:sz w:val="24"/>
          <w:szCs w:val="24"/>
        </w:rPr>
        <w:t>large</w:t>
      </w:r>
      <w:r w:rsidRPr="00AA479C">
        <w:rPr>
          <w:rFonts w:ascii="Times New Roman" w:eastAsia="Times New Roman" w:hAnsi="Times New Roman" w:cs="Times New Roman"/>
          <w:sz w:val="24"/>
          <w:szCs w:val="24"/>
        </w:rPr>
        <w:t xml:space="preserve"> divergence between the observed and simulated GPP </w:t>
      </w:r>
      <w:r>
        <w:rPr>
          <w:rFonts w:ascii="Times New Roman" w:eastAsia="Times New Roman" w:hAnsi="Times New Roman" w:cs="Times New Roman"/>
          <w:sz w:val="24"/>
          <w:szCs w:val="24"/>
        </w:rPr>
        <w:t xml:space="preserve">(Fig. S5a-b). GPP models showed poor fit for these two sites, with negative values of </w:t>
      </w:r>
      <w:r w:rsidRPr="009D2D79">
        <w:rPr>
          <w:rFonts w:ascii="Times New Roman" w:eastAsia="Times New Roman" w:hAnsi="Times New Roman" w:cs="Times New Roman"/>
          <w:i/>
          <w:iCs/>
          <w:sz w:val="24"/>
          <w:szCs w:val="24"/>
        </w:rPr>
        <w:t>R</w:t>
      </w:r>
      <w:r w:rsidRPr="009D2D79">
        <w:rPr>
          <w:rFonts w:ascii="Times New Roman" w:eastAsia="Times New Roman" w:hAnsi="Times New Roman" w:cs="Times New Roman"/>
          <w:i/>
          <w:iCs/>
          <w:sz w:val="24"/>
          <w:szCs w:val="24"/>
          <w:vertAlign w:val="superscript"/>
        </w:rPr>
        <w:t>2</w:t>
      </w:r>
      <w:r w:rsidRPr="009D2D79">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and NRMSE (Table S4). We observed a </w:t>
      </w:r>
      <w:r w:rsidRPr="00466931">
        <w:rPr>
          <w:rFonts w:ascii="Times New Roman" w:eastAsia="Times New Roman" w:hAnsi="Times New Roman" w:cs="Times New Roman"/>
          <w:sz w:val="24"/>
          <w:szCs w:val="24"/>
        </w:rPr>
        <w:t>significant improvement</w:t>
      </w:r>
      <w:r>
        <w:rPr>
          <w:rFonts w:ascii="Times New Roman" w:eastAsia="Times New Roman" w:hAnsi="Times New Roman" w:cs="Times New Roman"/>
          <w:sz w:val="24"/>
          <w:szCs w:val="24"/>
        </w:rPr>
        <w:t xml:space="preserve"> </w:t>
      </w:r>
      <w:r w:rsidRPr="00FA65F2">
        <w:rPr>
          <w:rFonts w:ascii="Times New Roman" w:eastAsia="Times New Roman" w:hAnsi="Times New Roman" w:cs="Times New Roman"/>
          <w:sz w:val="24"/>
          <w:szCs w:val="24"/>
        </w:rPr>
        <w:t>in the accuracy of our GPP models</w:t>
      </w:r>
      <w:r>
        <w:rPr>
          <w:rFonts w:ascii="Times New Roman" w:eastAsia="Times New Roman" w:hAnsi="Times New Roman" w:cs="Times New Roman"/>
          <w:sz w:val="24"/>
          <w:szCs w:val="24"/>
        </w:rPr>
        <w:t xml:space="preserve"> for both sites after using preceding winter and/or year-round data from January 2015 to February 2020 as input (</w:t>
      </w:r>
      <w:r w:rsidRPr="009D2D79">
        <w:rPr>
          <w:rFonts w:ascii="Times New Roman" w:eastAsia="Times New Roman" w:hAnsi="Times New Roman" w:cs="Times New Roman"/>
          <w:i/>
          <w:iCs/>
          <w:sz w:val="24"/>
          <w:szCs w:val="24"/>
        </w:rPr>
        <w:t>R</w:t>
      </w:r>
      <w:r w:rsidRPr="009D2D79">
        <w:rPr>
          <w:rFonts w:ascii="Times New Roman" w:eastAsia="Times New Roman" w:hAnsi="Times New Roman" w:cs="Times New Roman"/>
          <w:i/>
          <w:iCs/>
          <w:sz w:val="24"/>
          <w:szCs w:val="24"/>
          <w:vertAlign w:val="superscript"/>
        </w:rPr>
        <w:t>2</w:t>
      </w:r>
      <w:r w:rsidRPr="009D2D79">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&gt; 0.76, NRMSE &gt; 51%) (Table S4, Fig. S5c-d). </w:t>
      </w:r>
      <w:r w:rsidRPr="00FA65F2">
        <w:rPr>
          <w:rFonts w:ascii="Times New Roman" w:eastAsia="Times New Roman" w:hAnsi="Times New Roman" w:cs="Times New Roman"/>
          <w:sz w:val="24"/>
          <w:szCs w:val="24"/>
        </w:rPr>
        <w:t xml:space="preserve">By using a larger dataset that includes more historical information, our models were better able to account for this anomalous warming effect and provide more accurate predictions of GPP. These findings </w:t>
      </w:r>
      <w:r>
        <w:rPr>
          <w:rFonts w:ascii="Times New Roman" w:eastAsia="Times New Roman" w:hAnsi="Times New Roman" w:cs="Times New Roman"/>
          <w:sz w:val="24"/>
          <w:szCs w:val="24"/>
        </w:rPr>
        <w:t>highlight</w:t>
      </w:r>
      <w:r w:rsidRPr="00FA65F2">
        <w:rPr>
          <w:rFonts w:ascii="Times New Roman" w:eastAsia="Times New Roman" w:hAnsi="Times New Roman" w:cs="Times New Roman"/>
          <w:sz w:val="24"/>
          <w:szCs w:val="24"/>
        </w:rPr>
        <w:t xml:space="preserve"> the importance of incorporating relevant and comprehensive data when modelling ecosystem processes.</w:t>
      </w:r>
      <w:r>
        <w:rPr>
          <w:rFonts w:ascii="Times New Roman" w:eastAsia="Times New Roman" w:hAnsi="Times New Roman" w:cs="Times New Roman"/>
          <w:sz w:val="24"/>
          <w:szCs w:val="24"/>
        </w:rPr>
        <w:t xml:space="preserve"> </w:t>
      </w:r>
    </w:p>
    <w:p w14:paraId="101E7084" w14:textId="37C0A73E" w:rsidR="00103AF5" w:rsidRDefault="00103AF5" w:rsidP="00103AF5">
      <w:pPr>
        <w:snapToGri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Group 3 sites (BE-Dor, CH-Cha, DE-RuR, ES-Abr, ES-LM1 and ES-EM2) were subject to various management practices such as cutting, fertilizer application, grazing and nutrient manipulation experiment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{"citationItems":[{"id":"ITEM-1","itemData":{"DOI":"10.1098/rstb.2019.0521","ISBN":"0000000296960","ISSN":"14712970","PMID":"32892734","abstract":"Using five eddy covariance flux sites (two forests and three grasslands), we investigated ecosystem physiological responses to the 2018 drought across elevational gradients in Switzerland. Flux measurements showed that at lower elevation sites (below 1000 m.a.s.l.; grassland and mixed forest) annual ecosystem productivity (GPP) declined by approximately 20% compared to the previous 2 years (2016 and 2017), which led to a reduced annual net ecosystem productivity (NEP). At the high elevation sites, however, GPP increased by approximately 14% and as a result NEP increased in the alpine and montane grasslands, but not in the subalpine coniferous forest. There, increased ecosystem respiration led to a reduced annual NEP, despite increased GPP and lengthening of the growing period. Among all ecosystems, the coniferous forest showed the most pronounced negative stomatal response to atmospheric dryness (i.e. vapour pressure deficit, VPD) that resulted in a decline in surface conductance and an increased water-use efficiency during drought. While increased temperature enhanced the water-use efficiency of both forests, de-coupling of GPP from evapotranspiration at the low-elevation grassland site negatively affected water-use efficiency due to non-stomatal reductions in photosynthesis. Our results show that hot droughts (such as in 2018) lead to different responses across plants types, and thus ecosystems. Particularly grasslands at lower elevations are the most vulnerable ecosystems to negative impacts of future drought in Switzerland. This article is part of the theme issue 'Impacts of the 2018 severe drought and heatwave in Europe: from site to continental scale'.","author":[{"dropping-particle":"","family":"Gharun","given":"Mana","non-dropping-particle":"","parse-names":false,"suffix":""},{"dropping-particle":"","family":"Hörtnagl","given":"Lukas","non-dropping-particle":"","parse-names":false,"suffix":""},{"dropping-particle":"","family":"Paul-Limoges","given":"Eugénie","non-dropping-particle":"","parse-names":false,"suffix":""},{"dropping-particle":"","family":"Ghiasi","given":"Shiva","non-dropping-particle":"","parse-names":false,"suffix":""},{"dropping-particle":"","family":"Feigenwinter","given":"Iris","non-dropping-particle":"","parse-names":false,"suffix":""},{"dropping-particle":"","family":"Burri","given":"Susanne","non-dropping-particle":"","parse-names":false,"suffix":""},{"dropping-particle":"","family":"Marquardt","given":"Kristiina","non-dropping-particle":"","parse-names":false,"suffix":""},{"dropping-particle":"","family":"Etzold","given":"Sophia","non-dropping-particle":"","parse-names":false,"suffix":""},{"dropping-particle":"","family":"Zweifel","given":"Roman","non-dropping-particle":"","parse-names":false,"suffix":""},{"dropping-particle":"","family":"Eugster","given":"Werner","non-dropping-particle":"","parse-names":false,"suffix":""},{"dropping-particle":"","family":"Buchmann","given":"Nina","non-dropping-particle":"","parse-names":false,"suffix":""}],"container-title":"Philosophical Transactions of the Royal Society B: Biological Sciences","id":"ITEM-1","issue":"1810","issued":{"date-parts":[["2020"]]},"title":"Physiological response of Swiss ecosystems to 2018 drought across plant types and elevation: Summer 2018 drought in Switzerland","type":"article-journal","volume":"375"},"uris":["http://www.mendeley.com/documents/?uuid=a991c9b6-7236-42f5-9181-a0490d2b3923"]},{"id":"ITEM-2","itemData":{"DOI":"10.1029/2020JG006005","ISSN":"21698961","abstract":"Nutrient availability, especially of nitrogen (N) and phosphorus (P), is of major importance for every organism and at a larger scale for ecosystem functioning and productivity. Changes in nutrient availability and potential stoichiometric imbalance due to anthropogenic nitrogen deposition might lead to nutrient deficiency or alter ecosystem functioning in various ways. In this study, we present 6 years (2014–2020) of flux-, plant-, and remote sensing data from a large-scale nutrient manipulation experiment conducted in a Mediterranean savanna-type ecosystem with an emphasis on the effects of N and P treatments on ecosystem-scale water-use efficiency (WUE) and related mechanisms. Two plots were fertilized with N (NT, 16.9 Ha) and N + P (NPT, 21.5 Ha), and a third unfertilized plot served as a control (CT). Fertilization had a strong impact on leaf nutrient stoichiometry only within the herbaceous layer with increased leaf N in both fertilized treatments and increased leaf P in NPT. Following fertilization, WUE in NT and NPT increased during the peak of growing season. While gross primary productivity similarly increased in NT and NPT, transpiration and surface conductance increased more in NT than in NPT. The results show that the NPT plot with higher nutrient availability, but more balanced N:P leaf stoichiometry had the highest WUE. On average, higher N availability resulted in a 40% increased leaf area index (LAI) in both fertilized treatments in the spring. Increased LAI reduced aerodynamic conductance and thus evaporation at both fertilized plots in the spring. Despite reduced evaporation, annual evapotranspiration increased by 10% (48.6 ± 28.3 kg H2O m−2), in the NT plot, while NPT remained similar to CT (−1%, −6.7 ± 12.2 kgH2O m−2). Potential causes for increased transpiration at NT could be increased root biomass and thus higher water uptake or rhizosphere priming to increase P-mobilization through microbes. The annual net ecosystem exchange shifted from a carbon source in CT (75.0 ± 20.6 gC m−2) to carbon-neutral in both fertilized treatments [−7.0 ± 18.5 gC m−2 (NT) 0.4 ± 22.6 gC m−2 (NPT)]. Our results show, that the N:P stoichiometric imbalance, resulting from N addition (without P), increases the WUE less than the addition of N + P, due to the strong increase in transpiration at NT, which indicates the importance of a balanced N and P content for WUE.","author":[{"dropping-particle":"","family":"El-Madany","given":"Tarek S.","non-dropping-particle":"","parse-names":false,"suffix":""},{"dropping-particle":"","family":"Reichstein","given":"Markus","non-dropping-particle":"","parse-names":false,"suffix":""},{"dropping-particle":"","family":"Carrara","given":"Arnaud","non-dropping-particle":"","parse-names":false,"suffix":""},{"dropping-particle":"","family":"Martín","given":"M. Pilar","non-dropping-particle":"","parse-names":false,"suffix":""},{"dropping-particle":"","family":"Moreno","given":"Gerardo","non-dropping-particle":"","parse-names":false,"suffix":""},{"dropping-particle":"","family":"Gonzalez-Cascon","given":"Rosario","non-dropping-particle":"","parse-names":false,"suffix":""},{"dropping-particle":"","family":"Peñuelas","given":"Josep","non-dropping-particle":"","parse-names":false,"suffix":""},{"dropping-particle":"","family":"Ellsworth","given":"David S.","non-dropping-particle":"","parse-names":false,"suffix":""},{"dropping-particle":"","family":"Burchard-Levine","given":"Vicente","non-dropping-particle":"","parse-names":false,"suffix":""},{"dropping-particle":"","family":"Hammer","given":"Tiana W.","non-dropping-particle":"","parse-names":false,"suffix":""},{"dropping-particle":"","family":"Knauer","given":"Jürgen","non-dropping-particle":"","parse-names":false,"suffix":""},{"dropping-particle":"","family":"Kolle","given":"Olaf","non-dropping-particle":"","parse-names":false,"suffix":""},{"dropping-particle":"","family":"Luo","given":"Yunpeng","non-dropping-particle":"","parse-names":false,"suffix":""},{"dropping-particle":"","family":"Pacheco-Labrador","given":"Javier","non-dropping-particle":"","parse-names":false,"suffix":""},{"dropping-particle":"","family":"Nelson","given":"Jacob A.","non-dropping-particle":"","parse-names":false,"suffix":""},{"dropping-particle":"","family":"Perez-Priego","given":"Oscar","non-dropping-particle":"","parse-names":false,"suffix":""},{"dropping-particle":"","family":"Rolo","given":"Victor","non-dropping-particle":"","parse-names":false,"suffix":""},{"dropping-particle":"","family":"Wutzler","given":"Thomas","non-dropping-particle":"","parse-names":false,"suffix":""},{"dropping-particle":"","family":"Migliavacca","given":"Mirco","non-dropping-particle":"","parse-names":false,"suffix":""}],"container-title":"Journal of Geophysical Research: Biogeosciences","id":"ITEM-2","issue":"5","issued":{"date-parts":[["2021"]]},"title":"How Nitrogen and Phosphorus Availability Change Water Use Efficiency in a Mediterranean Savanna Ecosystem","type":"article-journal","volume":"126"},"uris":["http://www.mendeley.com/documents/?uuid=c1216a1f-35f0-44f9-97dc-64205740c1fa"]}],"mendeley":{"formattedCitation":"(El-Madany et al., 2021; Gharun et al., 2020)","plainTextFormattedCitation":"(El-Madany et al., 2021; Gharun et al., 2020)","previouslyFormattedCitation":"(El-Madany et al., 2021; Gharun et al., 2020)"},"properties":{"noteIndex":0},"schema":"https://github.com/citation-style-language/schema/raw/master/csl-citation.json"}</w:instrText>
      </w:r>
      <w:r>
        <w:rPr>
          <w:rFonts w:ascii="Times New Roman" w:hAnsi="Times New Roman" w:cs="Times New Roman"/>
          <w:sz w:val="24"/>
          <w:szCs w:val="24"/>
        </w:rPr>
        <w:fldChar w:fldCharType="separate"/>
      </w:r>
      <w:r w:rsidRPr="0065101E">
        <w:rPr>
          <w:rFonts w:ascii="Times New Roman" w:hAnsi="Times New Roman" w:cs="Times New Roman"/>
          <w:noProof/>
          <w:sz w:val="24"/>
          <w:szCs w:val="24"/>
        </w:rPr>
        <w:t>(El-Madany et al., 2021; Gharun et al., 2020)</w:t>
      </w:r>
      <w:r>
        <w:rPr>
          <w:rFonts w:ascii="Times New Roman" w:hAnsi="Times New Roman" w:cs="Times New Roman"/>
          <w:sz w:val="24"/>
          <w:szCs w:val="24"/>
        </w:rPr>
        <w:fldChar w:fldCharType="end"/>
      </w:r>
      <w:r>
        <w:rPr>
          <w:rFonts w:ascii="Times New Roman" w:hAnsi="Times New Roman" w:cs="Times New Roman"/>
          <w:sz w:val="24"/>
          <w:szCs w:val="24"/>
        </w:rPr>
        <w:t>, which confounded the GPP patterns. As a result</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our </w:t>
      </w:r>
      <w:r w:rsidRPr="004F3E51">
        <w:rPr>
          <w:rFonts w:ascii="Times New Roman" w:hAnsi="Times New Roman" w:cs="Times New Roman"/>
          <w:sz w:val="24"/>
          <w:szCs w:val="24"/>
        </w:rPr>
        <w:t xml:space="preserve">data </w:t>
      </w:r>
      <w:r>
        <w:rPr>
          <w:rFonts w:ascii="Times New Roman" w:hAnsi="Times New Roman" w:cs="Times New Roman"/>
          <w:sz w:val="24"/>
          <w:szCs w:val="24"/>
        </w:rPr>
        <w:t>driven</w:t>
      </w:r>
      <w:r w:rsidRPr="004F3E51">
        <w:rPr>
          <w:rFonts w:ascii="Times New Roman" w:hAnsi="Times New Roman" w:cs="Times New Roman"/>
          <w:sz w:val="24"/>
          <w:szCs w:val="24"/>
        </w:rPr>
        <w:t xml:space="preserve"> models cannot entirely</w:t>
      </w:r>
      <w:r>
        <w:rPr>
          <w:rFonts w:ascii="Times New Roman" w:hAnsi="Times New Roman" w:cs="Times New Roman"/>
          <w:sz w:val="24"/>
          <w:szCs w:val="24"/>
        </w:rPr>
        <w:t xml:space="preserve"> explain</w:t>
      </w:r>
      <w:r w:rsidRPr="004F3E51">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4F3E51">
        <w:rPr>
          <w:rFonts w:ascii="Times New Roman" w:hAnsi="Times New Roman" w:cs="Times New Roman"/>
          <w:sz w:val="24"/>
          <w:szCs w:val="24"/>
        </w:rPr>
        <w:t xml:space="preserve">observed </w:t>
      </w:r>
      <w:r>
        <w:rPr>
          <w:rFonts w:ascii="Times New Roman" w:hAnsi="Times New Roman" w:cs="Times New Roman"/>
          <w:sz w:val="24"/>
          <w:szCs w:val="24"/>
        </w:rPr>
        <w:t xml:space="preserve">GPP time course </w:t>
      </w:r>
      <w:r w:rsidRPr="004F3E51">
        <w:rPr>
          <w:rFonts w:ascii="Times New Roman" w:hAnsi="Times New Roman" w:cs="Times New Roman"/>
          <w:sz w:val="24"/>
          <w:szCs w:val="24"/>
        </w:rPr>
        <w:t xml:space="preserve">in </w:t>
      </w:r>
      <w:r>
        <w:rPr>
          <w:rFonts w:ascii="Times New Roman" w:hAnsi="Times New Roman" w:cs="Times New Roman"/>
          <w:sz w:val="24"/>
          <w:szCs w:val="24"/>
        </w:rPr>
        <w:t xml:space="preserve">spring </w:t>
      </w:r>
      <w:r w:rsidRPr="004F3E51">
        <w:rPr>
          <w:rFonts w:ascii="Times New Roman" w:hAnsi="Times New Roman" w:cs="Times New Roman"/>
          <w:sz w:val="24"/>
          <w:szCs w:val="24"/>
        </w:rPr>
        <w:t xml:space="preserve">2020 </w:t>
      </w:r>
      <w:r>
        <w:rPr>
          <w:rFonts w:ascii="Times New Roman" w:hAnsi="Times New Roman" w:cs="Times New Roman"/>
          <w:sz w:val="24"/>
          <w:szCs w:val="24"/>
        </w:rPr>
        <w:t xml:space="preserve">for these sites (e.g. Fig. </w:t>
      </w:r>
      <w:r w:rsidR="00571366">
        <w:rPr>
          <w:rFonts w:ascii="Times New Roman" w:hAnsi="Times New Roman" w:cs="Times New Roman"/>
          <w:sz w:val="24"/>
          <w:szCs w:val="24"/>
        </w:rPr>
        <w:t>5</w:t>
      </w:r>
      <w:r>
        <w:rPr>
          <w:rFonts w:ascii="Times New Roman" w:hAnsi="Times New Roman" w:cs="Times New Roman"/>
          <w:sz w:val="24"/>
          <w:szCs w:val="24"/>
        </w:rPr>
        <w:t xml:space="preserve">c) </w:t>
      </w:r>
      <w:r>
        <w:rPr>
          <w:rFonts w:ascii="Times New Roman" w:eastAsia="Times New Roman" w:hAnsi="Times New Roman" w:cs="Times New Roman"/>
          <w:sz w:val="24"/>
          <w:szCs w:val="24"/>
        </w:rPr>
        <w:t>(</w:t>
      </w:r>
      <w:r w:rsidRPr="009D2D79">
        <w:rPr>
          <w:rFonts w:ascii="Times New Roman" w:eastAsia="Times New Roman" w:hAnsi="Times New Roman" w:cs="Times New Roman"/>
          <w:i/>
          <w:iCs/>
          <w:sz w:val="24"/>
          <w:szCs w:val="24"/>
        </w:rPr>
        <w:t>R</w:t>
      </w:r>
      <w:r w:rsidRPr="009D2D79">
        <w:rPr>
          <w:rFonts w:ascii="Times New Roman" w:eastAsia="Times New Roman" w:hAnsi="Times New Roman" w:cs="Times New Roman"/>
          <w:i/>
          <w:iCs/>
          <w:sz w:val="24"/>
          <w:szCs w:val="24"/>
          <w:vertAlign w:val="superscript"/>
        </w:rPr>
        <w:t>2</w:t>
      </w:r>
      <w:r w:rsidRPr="009D2D79">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&lt; 0.55, NRMSE &lt; 33%)</w:t>
      </w:r>
      <w:r w:rsidRPr="004F3E5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addition of pollutant variables slightly </w:t>
      </w:r>
      <w:r w:rsidRPr="008A157F">
        <w:rPr>
          <w:rFonts w:ascii="Times New Roman" w:hAnsi="Times New Roman" w:cs="Times New Roman"/>
          <w:sz w:val="24"/>
          <w:szCs w:val="24"/>
        </w:rPr>
        <w:t>increase</w:t>
      </w:r>
      <w:r>
        <w:rPr>
          <w:rFonts w:ascii="Times New Roman" w:hAnsi="Times New Roman" w:cs="Times New Roman"/>
          <w:sz w:val="24"/>
          <w:szCs w:val="24"/>
        </w:rPr>
        <w:t xml:space="preserve">d </w:t>
      </w:r>
      <w:r w:rsidRPr="008A157F">
        <w:rPr>
          <w:rFonts w:ascii="Times New Roman" w:hAnsi="Times New Roman" w:cs="Times New Roman"/>
          <w:sz w:val="24"/>
          <w:szCs w:val="24"/>
        </w:rPr>
        <w:t>the variance of the</w:t>
      </w:r>
      <w:r>
        <w:rPr>
          <w:rFonts w:ascii="Times New Roman" w:hAnsi="Times New Roman" w:cs="Times New Roman"/>
          <w:sz w:val="24"/>
          <w:szCs w:val="24"/>
        </w:rPr>
        <w:t xml:space="preserve"> GPP (</w:t>
      </w:r>
      <w:r w:rsidRPr="00320766">
        <w:rPr>
          <w:rFonts w:ascii="Times New Roman" w:eastAsia="Times New Roman" w:hAnsi="Times New Roman" w:cs="Times New Roman"/>
          <w:sz w:val="24"/>
          <w:szCs w:val="24"/>
        </w:rPr>
        <w:t>∆</w:t>
      </w:r>
      <w:r w:rsidRPr="00DD721B">
        <w:rPr>
          <w:rFonts w:ascii="Times New Roman" w:hAnsi="Times New Roman" w:cs="Times New Roman"/>
          <w:i/>
          <w:iCs/>
          <w:sz w:val="24"/>
          <w:szCs w:val="24"/>
        </w:rPr>
        <w:t>R</w:t>
      </w:r>
      <w:r w:rsidRPr="00DD721B">
        <w:rPr>
          <w:rFonts w:ascii="Times New Roman" w:hAnsi="Times New Roman" w:cs="Times New Roman"/>
          <w:i/>
          <w:iCs/>
          <w:sz w:val="24"/>
          <w:szCs w:val="24"/>
          <w:vertAlign w:val="superscript"/>
        </w:rPr>
        <w:t>2</w:t>
      </w:r>
      <w:r>
        <w:rPr>
          <w:rFonts w:ascii="Times New Roman" w:hAnsi="Times New Roman" w:cs="Times New Roman"/>
          <w:i/>
          <w:iCs/>
          <w:sz w:val="24"/>
          <w:szCs w:val="24"/>
        </w:rPr>
        <w:t xml:space="preserve"> </w:t>
      </w:r>
      <w:r>
        <w:rPr>
          <w:rFonts w:ascii="Times New Roman" w:hAnsi="Times New Roman" w:cs="Times New Roman"/>
          <w:sz w:val="24"/>
          <w:szCs w:val="24"/>
        </w:rPr>
        <w:t>&lt; 0.1</w:t>
      </w:r>
      <w:r>
        <w:rPr>
          <w:rFonts w:ascii="Times New Roman" w:eastAsia="Times New Roman" w:hAnsi="Times New Roman" w:cs="Times New Roman"/>
          <w:sz w:val="24"/>
          <w:szCs w:val="24"/>
        </w:rPr>
        <w:t>)</w:t>
      </w:r>
      <w:r>
        <w:rPr>
          <w:rFonts w:ascii="Times New Roman" w:hAnsi="Times New Roman" w:cs="Times New Roman"/>
          <w:sz w:val="24"/>
          <w:szCs w:val="24"/>
        </w:rPr>
        <w:t xml:space="preserve"> and reduced the </w:t>
      </w:r>
      <w:r>
        <w:rPr>
          <w:rFonts w:ascii="Times New Roman" w:eastAsia="Times New Roman" w:hAnsi="Times New Roman" w:cs="Times New Roman"/>
          <w:sz w:val="24"/>
          <w:szCs w:val="24"/>
        </w:rPr>
        <w:t>prediction error (</w:t>
      </w:r>
      <w:r w:rsidRPr="00DD721B">
        <w:rPr>
          <w:rFonts w:ascii="Times New Roman" w:eastAsia="Times New Roman" w:hAnsi="Times New Roman" w:cs="Times New Roman"/>
          <w:sz w:val="24"/>
          <w:szCs w:val="24"/>
        </w:rPr>
        <w:t>∆</w:t>
      </w:r>
      <w:r>
        <w:rPr>
          <w:rFonts w:ascii="Times New Roman" w:hAnsi="Times New Roman" w:cs="Times New Roman"/>
          <w:sz w:val="24"/>
          <w:szCs w:val="24"/>
        </w:rPr>
        <w:t xml:space="preserve">NRMSE &lt; 4%) at all sites, except for ES-LM1 and ES-LM2, which had higher </w:t>
      </w:r>
      <w:r w:rsidRPr="00DD721B">
        <w:rPr>
          <w:rFonts w:ascii="Times New Roman" w:hAnsi="Times New Roman" w:cs="Times New Roman"/>
          <w:i/>
          <w:iCs/>
          <w:sz w:val="24"/>
          <w:szCs w:val="24"/>
        </w:rPr>
        <w:t>R</w:t>
      </w:r>
      <w:r w:rsidRPr="00DD721B">
        <w:rPr>
          <w:rFonts w:ascii="Times New Roman" w:hAnsi="Times New Roman" w:cs="Times New Roman"/>
          <w:i/>
          <w:iCs/>
          <w:sz w:val="24"/>
          <w:szCs w:val="24"/>
          <w:vertAlign w:val="superscript"/>
        </w:rPr>
        <w:t>2</w:t>
      </w:r>
      <w:r>
        <w:rPr>
          <w:rFonts w:ascii="Times New Roman" w:hAnsi="Times New Roman" w:cs="Times New Roman"/>
          <w:sz w:val="24"/>
          <w:szCs w:val="24"/>
        </w:rPr>
        <w:t xml:space="preserve"> (0.07 &lt; </w:t>
      </w:r>
      <w:r w:rsidRPr="00320766">
        <w:rPr>
          <w:rFonts w:ascii="Times New Roman" w:eastAsia="Times New Roman" w:hAnsi="Times New Roman" w:cs="Times New Roman"/>
          <w:sz w:val="24"/>
          <w:szCs w:val="24"/>
        </w:rPr>
        <w:t>∆</w:t>
      </w:r>
      <w:r w:rsidRPr="00DD721B">
        <w:rPr>
          <w:rFonts w:ascii="Times New Roman" w:hAnsi="Times New Roman" w:cs="Times New Roman"/>
          <w:i/>
          <w:iCs/>
          <w:sz w:val="24"/>
          <w:szCs w:val="24"/>
        </w:rPr>
        <w:t>R</w:t>
      </w:r>
      <w:r w:rsidRPr="00DD721B">
        <w:rPr>
          <w:rFonts w:ascii="Times New Roman" w:hAnsi="Times New Roman" w:cs="Times New Roman"/>
          <w:i/>
          <w:iCs/>
          <w:sz w:val="24"/>
          <w:szCs w:val="24"/>
          <w:vertAlign w:val="superscript"/>
        </w:rPr>
        <w:t>2</w:t>
      </w:r>
      <w:r>
        <w:rPr>
          <w:rFonts w:ascii="Times New Roman" w:hAnsi="Times New Roman" w:cs="Times New Roman"/>
          <w:i/>
          <w:iCs/>
          <w:sz w:val="24"/>
          <w:szCs w:val="24"/>
        </w:rPr>
        <w:t xml:space="preserve"> </w:t>
      </w:r>
      <w:r>
        <w:rPr>
          <w:rFonts w:ascii="Times New Roman" w:hAnsi="Times New Roman" w:cs="Times New Roman"/>
          <w:sz w:val="24"/>
          <w:szCs w:val="24"/>
        </w:rPr>
        <w:t>&lt; 0.11)</w:t>
      </w:r>
      <w:r>
        <w:rPr>
          <w:rFonts w:ascii="Times New Roman" w:eastAsia="Times New Roman" w:hAnsi="Times New Roman" w:cs="Times New Roman"/>
          <w:sz w:val="24"/>
          <w:szCs w:val="24"/>
        </w:rPr>
        <w:t xml:space="preserve"> and NRMSE values (4.4% &lt; </w:t>
      </w:r>
      <w:r w:rsidRPr="00DD721B">
        <w:rPr>
          <w:rFonts w:ascii="Times New Roman" w:eastAsia="Times New Roman" w:hAnsi="Times New Roman" w:cs="Times New Roman"/>
          <w:sz w:val="24"/>
          <w:szCs w:val="24"/>
        </w:rPr>
        <w:t>∆</w:t>
      </w:r>
      <w:r>
        <w:rPr>
          <w:rFonts w:ascii="Times New Roman" w:hAnsi="Times New Roman" w:cs="Times New Roman"/>
          <w:sz w:val="24"/>
          <w:szCs w:val="24"/>
        </w:rPr>
        <w:t>NRMSE &lt; 6.1%), possibly due to</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more extensive application of nitrogen and phosphorus fertilizers in the experiment. </w:t>
      </w:r>
    </w:p>
    <w:p w14:paraId="7ACF3E02" w14:textId="77777777" w:rsidR="00103AF5" w:rsidRDefault="00103AF5" w:rsidP="00103AF5">
      <w:pPr>
        <w:snapToGrid w:val="0"/>
        <w:spacing w:after="0" w:line="480" w:lineRule="auto"/>
        <w:ind w:firstLine="720"/>
        <w:rPr>
          <w:rFonts w:ascii="Times New Roman" w:hAnsi="Times New Roman" w:cs="Times New Roman"/>
          <w:sz w:val="24"/>
          <w:szCs w:val="24"/>
        </w:rPr>
      </w:pPr>
    </w:p>
    <w:p w14:paraId="7B8ACC8F" w14:textId="77777777" w:rsidR="00103AF5" w:rsidRDefault="00103AF5" w:rsidP="00103AF5">
      <w:pPr>
        <w:pStyle w:val="ListParagraph"/>
        <w:numPr>
          <w:ilvl w:val="0"/>
          <w:numId w:val="5"/>
        </w:numPr>
        <w:snapToGrid w:val="0"/>
        <w:spacing w:after="0" w:line="480" w:lineRule="auto"/>
        <w:rPr>
          <w:rFonts w:ascii="Times New Roman" w:hAnsi="Times New Roman" w:cs="Times New Roman"/>
          <w:b/>
          <w:bCs/>
          <w:sz w:val="24"/>
          <w:szCs w:val="24"/>
        </w:rPr>
      </w:pPr>
      <w:r w:rsidRPr="00942504">
        <w:rPr>
          <w:rFonts w:ascii="Times New Roman" w:hAnsi="Times New Roman" w:cs="Times New Roman"/>
          <w:b/>
          <w:bCs/>
          <w:sz w:val="24"/>
          <w:szCs w:val="24"/>
        </w:rPr>
        <w:t>Conclusions</w:t>
      </w:r>
    </w:p>
    <w:p w14:paraId="16D67147" w14:textId="77777777" w:rsidR="00103AF5" w:rsidRDefault="00103AF5" w:rsidP="00103AF5">
      <w:pPr>
        <w:snapToGrid w:val="0"/>
        <w:spacing w:after="0" w:line="480" w:lineRule="auto"/>
        <w:rPr>
          <w:rFonts w:ascii="Times New Roman" w:hAnsi="Times New Roman" w:cs="Times New Roman"/>
          <w:sz w:val="24"/>
          <w:szCs w:val="24"/>
        </w:rPr>
      </w:pPr>
      <w:r>
        <w:rPr>
          <w:rFonts w:ascii="Times New Roman" w:hAnsi="Times New Roman" w:cs="Times New Roman"/>
          <w:sz w:val="24"/>
          <w:szCs w:val="24"/>
        </w:rPr>
        <w:t>Our first hypothesis that a network of 44 sites could detect the</w:t>
      </w:r>
      <w:r w:rsidRPr="00570808">
        <w:rPr>
          <w:rFonts w:ascii="Times New Roman" w:hAnsi="Times New Roman" w:cs="Times New Roman"/>
          <w:sz w:val="24"/>
          <w:szCs w:val="24"/>
        </w:rPr>
        <w:t xml:space="preserve"> </w:t>
      </w:r>
      <w:r>
        <w:rPr>
          <w:rFonts w:ascii="Times New Roman" w:hAnsi="Times New Roman" w:cs="Times New Roman"/>
          <w:sz w:val="24"/>
          <w:szCs w:val="24"/>
        </w:rPr>
        <w:t xml:space="preserve">gross primary production (GPP) anomaly in spring 2020 using a </w:t>
      </w:r>
      <w:r w:rsidRPr="00535C88">
        <w:rPr>
          <w:rFonts w:ascii="Times New Roman" w:hAnsi="Times New Roman" w:cs="Times New Roman"/>
          <w:sz w:val="24"/>
          <w:szCs w:val="24"/>
        </w:rPr>
        <w:t>6-year long time series</w:t>
      </w:r>
      <w:r>
        <w:rPr>
          <w:rFonts w:ascii="Times New Roman" w:hAnsi="Times New Roman" w:cs="Times New Roman"/>
          <w:sz w:val="24"/>
          <w:szCs w:val="24"/>
        </w:rPr>
        <w:t xml:space="preserve"> of CO</w:t>
      </w:r>
      <w:r w:rsidRPr="00646568">
        <w:rPr>
          <w:rFonts w:ascii="Times New Roman" w:hAnsi="Times New Roman" w:cs="Times New Roman"/>
          <w:sz w:val="24"/>
          <w:szCs w:val="24"/>
          <w:vertAlign w:val="subscript"/>
        </w:rPr>
        <w:t>2</w:t>
      </w:r>
      <w:r w:rsidRPr="005A33D8">
        <w:t xml:space="preserve"> </w:t>
      </w:r>
      <w:r>
        <w:rPr>
          <w:rFonts w:ascii="Times New Roman" w:hAnsi="Times New Roman" w:cs="Times New Roman"/>
          <w:sz w:val="24"/>
          <w:szCs w:val="24"/>
        </w:rPr>
        <w:t xml:space="preserve">exchange was validated. The results also demonstrate that the enhanced </w:t>
      </w:r>
      <w:r w:rsidRPr="004F3E51">
        <w:rPr>
          <w:rFonts w:ascii="Times New Roman" w:hAnsi="Times New Roman" w:cs="Times New Roman"/>
          <w:sz w:val="24"/>
          <w:szCs w:val="24"/>
        </w:rPr>
        <w:t>downwelling shortwave radiation</w:t>
      </w:r>
      <w:r>
        <w:rPr>
          <w:rFonts w:ascii="Times New Roman" w:hAnsi="Times New Roman" w:cs="Times New Roman"/>
          <w:sz w:val="24"/>
          <w:szCs w:val="24"/>
        </w:rPr>
        <w:t xml:space="preserve"> played a dominant role in the observed total GPP enhancement, but only in the absence of soil and </w:t>
      </w:r>
      <w:r>
        <w:rPr>
          <w:rFonts w:ascii="Times New Roman" w:hAnsi="Times New Roman" w:cs="Times New Roman"/>
          <w:sz w:val="24"/>
          <w:szCs w:val="24"/>
        </w:rPr>
        <w:lastRenderedPageBreak/>
        <w:t>atmospheric drought, which induced a negative response of GPP. However, the double hypothesis that a large reduction in ozone precursors</w:t>
      </w:r>
      <w:r w:rsidRPr="00602AC7">
        <w:rPr>
          <w:rFonts w:ascii="Times New Roman" w:hAnsi="Times New Roman" w:cs="Times New Roman"/>
          <w:sz w:val="24"/>
          <w:szCs w:val="24"/>
        </w:rPr>
        <w:t xml:space="preserve"> (i.e. NO</w:t>
      </w:r>
      <w:r w:rsidRPr="00942504">
        <w:rPr>
          <w:rFonts w:ascii="Times New Roman" w:hAnsi="Times New Roman" w:cs="Times New Roman"/>
          <w:sz w:val="24"/>
          <w:szCs w:val="24"/>
          <w:vertAlign w:val="subscript"/>
        </w:rPr>
        <w:t>x</w:t>
      </w:r>
      <w:r w:rsidRPr="00602AC7">
        <w:rPr>
          <w:rFonts w:ascii="Times New Roman" w:hAnsi="Times New Roman" w:cs="Times New Roman"/>
          <w:sz w:val="24"/>
          <w:szCs w:val="24"/>
        </w:rPr>
        <w:t>)</w:t>
      </w:r>
      <w:r>
        <w:rPr>
          <w:rFonts w:ascii="Times New Roman" w:hAnsi="Times New Roman" w:cs="Times New Roman"/>
          <w:sz w:val="24"/>
          <w:szCs w:val="24"/>
        </w:rPr>
        <w:t xml:space="preserve"> emissions would (i) reduce ecosystem ozone exposure, and (ii) indirectly reduce its negative impact on GPP was not verified as the temporary altered patterns of deposition of atmospheric pollutants had only a marginal effect on GPP. </w:t>
      </w:r>
      <w:r w:rsidRPr="004F3E51">
        <w:rPr>
          <w:rFonts w:ascii="Times New Roman" w:hAnsi="Times New Roman" w:cs="Times New Roman"/>
          <w:sz w:val="24"/>
          <w:szCs w:val="24"/>
        </w:rPr>
        <w:t xml:space="preserve">Although the 2020 lockdown provoked a continent-wide reduction in </w:t>
      </w:r>
      <w:r>
        <w:rPr>
          <w:rFonts w:ascii="Times New Roman" w:hAnsi="Times New Roman" w:cs="Times New Roman"/>
          <w:sz w:val="24"/>
          <w:szCs w:val="24"/>
        </w:rPr>
        <w:t xml:space="preserve">pollutant emissions </w:t>
      </w:r>
      <w:r w:rsidRPr="004F3E51">
        <w:rPr>
          <w:rFonts w:ascii="Times New Roman" w:hAnsi="Times New Roman" w:cs="Times New Roman"/>
          <w:sz w:val="24"/>
          <w:szCs w:val="24"/>
        </w:rPr>
        <w:t>in Europe</w:t>
      </w:r>
      <w:r>
        <w:rPr>
          <w:rFonts w:ascii="Times New Roman" w:hAnsi="Times New Roman" w:cs="Times New Roman"/>
          <w:sz w:val="24"/>
          <w:szCs w:val="24"/>
        </w:rPr>
        <w:t xml:space="preserve"> (for a few months only)</w:t>
      </w:r>
      <w:r w:rsidRPr="004F3E51">
        <w:rPr>
          <w:rFonts w:ascii="Times New Roman" w:hAnsi="Times New Roman" w:cs="Times New Roman"/>
          <w:sz w:val="24"/>
          <w:szCs w:val="24"/>
        </w:rPr>
        <w:t>, its major effects on</w:t>
      </w:r>
      <w:r>
        <w:rPr>
          <w:rFonts w:ascii="Times New Roman" w:hAnsi="Times New Roman" w:cs="Times New Roman"/>
          <w:sz w:val="24"/>
          <w:szCs w:val="24"/>
        </w:rPr>
        <w:t xml:space="preserve"> </w:t>
      </w:r>
      <w:r w:rsidRPr="004F3E51">
        <w:rPr>
          <w:rFonts w:ascii="Times New Roman" w:hAnsi="Times New Roman" w:cs="Times New Roman"/>
          <w:sz w:val="24"/>
          <w:szCs w:val="24"/>
        </w:rPr>
        <w:t>terrestrial GPP m</w:t>
      </w:r>
      <w:r>
        <w:rPr>
          <w:rFonts w:ascii="Times New Roman" w:hAnsi="Times New Roman" w:cs="Times New Roman"/>
          <w:sz w:val="24"/>
          <w:szCs w:val="24"/>
        </w:rPr>
        <w:t xml:space="preserve">ay be </w:t>
      </w:r>
      <w:r w:rsidRPr="004F3E51">
        <w:rPr>
          <w:rFonts w:ascii="Times New Roman" w:hAnsi="Times New Roman" w:cs="Times New Roman"/>
          <w:sz w:val="24"/>
          <w:szCs w:val="24"/>
        </w:rPr>
        <w:t xml:space="preserve">attributed to </w:t>
      </w:r>
      <w:r>
        <w:rPr>
          <w:rFonts w:ascii="Times New Roman" w:hAnsi="Times New Roman" w:cs="Times New Roman"/>
          <w:sz w:val="24"/>
          <w:szCs w:val="24"/>
        </w:rPr>
        <w:t>the</w:t>
      </w:r>
      <w:r w:rsidRPr="004F3E51">
        <w:rPr>
          <w:rFonts w:ascii="Times New Roman" w:hAnsi="Times New Roman" w:cs="Times New Roman"/>
          <w:sz w:val="24"/>
          <w:szCs w:val="24"/>
        </w:rPr>
        <w:t xml:space="preserve"> effects </w:t>
      </w:r>
      <w:r>
        <w:rPr>
          <w:rFonts w:ascii="Times New Roman" w:hAnsi="Times New Roman" w:cs="Times New Roman"/>
          <w:sz w:val="24"/>
          <w:szCs w:val="24"/>
        </w:rPr>
        <w:t xml:space="preserve">of reduced aerosol loadings </w:t>
      </w:r>
      <w:r w:rsidRPr="004F3E51">
        <w:rPr>
          <w:rFonts w:ascii="Times New Roman" w:hAnsi="Times New Roman" w:cs="Times New Roman"/>
          <w:sz w:val="24"/>
          <w:szCs w:val="24"/>
        </w:rPr>
        <w:t xml:space="preserve">on the radiation regime. </w:t>
      </w:r>
      <w:r>
        <w:rPr>
          <w:rFonts w:ascii="Times New Roman" w:hAnsi="Times New Roman" w:cs="Times New Roman"/>
          <w:sz w:val="24"/>
          <w:szCs w:val="24"/>
        </w:rPr>
        <w:t>These</w:t>
      </w:r>
      <w:r w:rsidRPr="004F3E51">
        <w:rPr>
          <w:rFonts w:ascii="Times New Roman" w:hAnsi="Times New Roman" w:cs="Times New Roman"/>
          <w:sz w:val="24"/>
          <w:szCs w:val="24"/>
        </w:rPr>
        <w:t xml:space="preserve"> results </w:t>
      </w:r>
      <w:r>
        <w:rPr>
          <w:rFonts w:ascii="Times New Roman" w:hAnsi="Times New Roman" w:cs="Times New Roman"/>
          <w:sz w:val="24"/>
          <w:szCs w:val="24"/>
        </w:rPr>
        <w:t>highlight the need for concerted policies</w:t>
      </w:r>
      <w:r w:rsidRPr="004F3E51">
        <w:rPr>
          <w:rFonts w:ascii="Times New Roman" w:hAnsi="Times New Roman" w:cs="Times New Roman"/>
          <w:sz w:val="24"/>
          <w:szCs w:val="24"/>
        </w:rPr>
        <w:t xml:space="preserve"> </w:t>
      </w:r>
      <w:r>
        <w:rPr>
          <w:rFonts w:ascii="Times New Roman" w:hAnsi="Times New Roman" w:cs="Times New Roman"/>
          <w:sz w:val="24"/>
          <w:szCs w:val="24"/>
        </w:rPr>
        <w:t xml:space="preserve">that address </w:t>
      </w:r>
      <w:r w:rsidRPr="004F3E51">
        <w:rPr>
          <w:rFonts w:ascii="Times New Roman" w:hAnsi="Times New Roman" w:cs="Times New Roman"/>
          <w:sz w:val="24"/>
          <w:szCs w:val="24"/>
        </w:rPr>
        <w:t xml:space="preserve">global climate change </w:t>
      </w:r>
      <w:r>
        <w:rPr>
          <w:rFonts w:ascii="Times New Roman" w:hAnsi="Times New Roman" w:cs="Times New Roman"/>
          <w:sz w:val="24"/>
          <w:szCs w:val="24"/>
        </w:rPr>
        <w:t xml:space="preserve">and mitigation, </w:t>
      </w:r>
      <w:r w:rsidRPr="004F3E51">
        <w:rPr>
          <w:rFonts w:ascii="Times New Roman" w:hAnsi="Times New Roman" w:cs="Times New Roman"/>
          <w:sz w:val="24"/>
          <w:szCs w:val="24"/>
        </w:rPr>
        <w:t>land resource management</w:t>
      </w:r>
      <w:r>
        <w:rPr>
          <w:rFonts w:ascii="Times New Roman" w:hAnsi="Times New Roman" w:cs="Times New Roman"/>
          <w:sz w:val="24"/>
          <w:szCs w:val="24"/>
        </w:rPr>
        <w:t xml:space="preserve">, and </w:t>
      </w:r>
      <w:r w:rsidRPr="004F3E51">
        <w:rPr>
          <w:rFonts w:ascii="Times New Roman" w:hAnsi="Times New Roman" w:cs="Times New Roman"/>
          <w:sz w:val="24"/>
          <w:szCs w:val="24"/>
        </w:rPr>
        <w:t>air quality</w:t>
      </w:r>
      <w:r>
        <w:rPr>
          <w:rFonts w:ascii="Times New Roman" w:hAnsi="Times New Roman" w:cs="Times New Roman"/>
          <w:sz w:val="24"/>
          <w:szCs w:val="24"/>
        </w:rPr>
        <w:t xml:space="preserve"> simultaneously</w:t>
      </w:r>
      <w:r w:rsidRPr="004F3E51">
        <w:rPr>
          <w:rFonts w:ascii="Times New Roman" w:hAnsi="Times New Roman" w:cs="Times New Roman"/>
          <w:sz w:val="24"/>
          <w:szCs w:val="24"/>
        </w:rPr>
        <w:t xml:space="preserve">.  </w:t>
      </w:r>
    </w:p>
    <w:p w14:paraId="3BC476DA" w14:textId="77777777" w:rsidR="00103AF5" w:rsidRDefault="00103AF5" w:rsidP="00103AF5">
      <w:pPr>
        <w:snapToGrid w:val="0"/>
        <w:spacing w:after="0" w:line="480" w:lineRule="auto"/>
        <w:rPr>
          <w:rFonts w:ascii="Times New Roman" w:hAnsi="Times New Roman" w:cs="Times New Roman"/>
          <w:sz w:val="24"/>
          <w:szCs w:val="24"/>
        </w:rPr>
      </w:pPr>
    </w:p>
    <w:p w14:paraId="7B105CAA" w14:textId="5B16C25A" w:rsidR="00103AF5" w:rsidRPr="004F3E51" w:rsidRDefault="00103AF5" w:rsidP="00103AF5">
      <w:pPr>
        <w:spacing w:after="0" w:line="480" w:lineRule="auto"/>
        <w:rPr>
          <w:rFonts w:ascii="Times New Roman" w:hAnsi="Times New Roman" w:cs="Times New Roman"/>
          <w:b/>
          <w:color w:val="000000"/>
          <w:sz w:val="24"/>
          <w:szCs w:val="24"/>
        </w:rPr>
      </w:pPr>
      <w:r>
        <w:rPr>
          <w:rFonts w:ascii="Times New Roman" w:hAnsi="Times New Roman" w:cs="Times New Roman"/>
          <w:sz w:val="24"/>
          <w:szCs w:val="24"/>
        </w:rPr>
        <w:t xml:space="preserve"> </w:t>
      </w:r>
      <w:r w:rsidRPr="004F3E51">
        <w:rPr>
          <w:rFonts w:ascii="Times New Roman" w:hAnsi="Times New Roman" w:cs="Times New Roman"/>
          <w:b/>
          <w:color w:val="000000"/>
          <w:sz w:val="24"/>
          <w:szCs w:val="24"/>
        </w:rPr>
        <w:t>Acknowledgement</w:t>
      </w:r>
    </w:p>
    <w:p w14:paraId="3DBFCCEF" w14:textId="77777777" w:rsidR="00103AF5" w:rsidRDefault="00103AF5" w:rsidP="00103AF5">
      <w:pPr>
        <w:snapToGrid w:val="0"/>
        <w:spacing w:after="0" w:line="480" w:lineRule="auto"/>
        <w:rPr>
          <w:rFonts w:ascii="Times New Roman" w:hAnsi="Times New Roman" w:cs="Times New Roman"/>
          <w:sz w:val="24"/>
          <w:szCs w:val="24"/>
        </w:rPr>
      </w:pPr>
      <w:r w:rsidRPr="004F3E51">
        <w:rPr>
          <w:rFonts w:ascii="Times New Roman" w:hAnsi="Times New Roman" w:cs="Times New Roman"/>
          <w:sz w:val="24"/>
          <w:szCs w:val="24"/>
        </w:rPr>
        <w:t xml:space="preserve">This work used eddy covariance data acquired and shared by ICOS research infrastructure and site investigators. The eddy covariance data processing and harmonization was carried out by the European Fluxes Database Cluster. </w:t>
      </w:r>
      <w:r w:rsidRPr="00AF6E89">
        <w:rPr>
          <w:rFonts w:ascii="Times New Roman" w:hAnsi="Times New Roman" w:cs="Times New Roman"/>
          <w:sz w:val="24"/>
          <w:szCs w:val="24"/>
        </w:rPr>
        <w:t xml:space="preserve">A.C.I.T. was funded by the ECODIV research department of INRAE. We would like to thank Tom Taborski for his assistance with the download and processing of CAMS radiation data. We also acknowledge the </w:t>
      </w:r>
      <w:r>
        <w:rPr>
          <w:rFonts w:ascii="Times New Roman" w:hAnsi="Times New Roman" w:cs="Times New Roman"/>
          <w:sz w:val="24"/>
          <w:szCs w:val="24"/>
        </w:rPr>
        <w:t>valuable</w:t>
      </w:r>
      <w:r w:rsidRPr="00AF6E89">
        <w:rPr>
          <w:rFonts w:ascii="Times New Roman" w:hAnsi="Times New Roman" w:cs="Times New Roman"/>
          <w:sz w:val="24"/>
          <w:szCs w:val="24"/>
        </w:rPr>
        <w:t xml:space="preserve"> contributions of the late Werner Eugster.</w:t>
      </w:r>
    </w:p>
    <w:p w14:paraId="0225CB50" w14:textId="0F3D4E98" w:rsidR="00103AF5" w:rsidRDefault="00103AF5" w:rsidP="00103AF5">
      <w:pPr>
        <w:snapToGrid w:val="0"/>
        <w:spacing w:after="0" w:line="480" w:lineRule="auto"/>
        <w:rPr>
          <w:rFonts w:ascii="Times New Roman" w:hAnsi="Times New Roman" w:cs="Times New Roman"/>
          <w:sz w:val="24"/>
          <w:szCs w:val="24"/>
        </w:rPr>
      </w:pPr>
    </w:p>
    <w:p w14:paraId="3DFCC468" w14:textId="57A288F3" w:rsidR="00014F4C" w:rsidRPr="00014F4C" w:rsidRDefault="00014F4C" w:rsidP="00103AF5">
      <w:pPr>
        <w:snapToGrid w:val="0"/>
        <w:spacing w:after="0" w:line="480" w:lineRule="auto"/>
        <w:rPr>
          <w:rFonts w:ascii="Times New Roman" w:hAnsi="Times New Roman" w:cs="Times New Roman"/>
          <w:b/>
          <w:bCs/>
          <w:sz w:val="24"/>
          <w:szCs w:val="24"/>
        </w:rPr>
      </w:pPr>
      <w:r w:rsidRPr="00014F4C">
        <w:rPr>
          <w:rFonts w:ascii="Times New Roman" w:hAnsi="Times New Roman" w:cs="Times New Roman"/>
          <w:b/>
          <w:bCs/>
          <w:sz w:val="24"/>
          <w:szCs w:val="24"/>
        </w:rPr>
        <w:t>Data availability statement</w:t>
      </w:r>
    </w:p>
    <w:p w14:paraId="116CAC6B" w14:textId="25B48900" w:rsidR="00014F4C" w:rsidRDefault="00014F4C" w:rsidP="00103AF5">
      <w:pPr>
        <w:snapToGrid w:val="0"/>
        <w:spacing w:after="0" w:line="480" w:lineRule="auto"/>
        <w:rPr>
          <w:rFonts w:ascii="Times New Roman" w:hAnsi="Times New Roman" w:cs="Times New Roman"/>
          <w:sz w:val="24"/>
          <w:szCs w:val="24"/>
        </w:rPr>
      </w:pPr>
      <w:r w:rsidRPr="00014F4C">
        <w:rPr>
          <w:rFonts w:ascii="Times New Roman" w:hAnsi="Times New Roman" w:cs="Times New Roman"/>
          <w:sz w:val="24"/>
          <w:szCs w:val="24"/>
        </w:rPr>
        <w:t>Fluxes and meteorological data are available at the ICOS Carbon Portal from https://doi.org/10.18160/2G60-ZHAK; LOTOS-EUROS estimates of air pollution data can be accessed through the Copernicus Atmosphere Monitoring Service https://atmosphere.copernicus.eu/; CAMS radiation data was downloaded from https://www.soda-pro.com/web-services/radiation/cams-radiation-service</w:t>
      </w:r>
    </w:p>
    <w:p w14:paraId="7904D99A" w14:textId="77777777" w:rsidR="00014F4C" w:rsidRDefault="00014F4C" w:rsidP="00103AF5">
      <w:pPr>
        <w:snapToGrid w:val="0"/>
        <w:spacing w:after="0" w:line="480" w:lineRule="auto"/>
        <w:rPr>
          <w:rFonts w:ascii="Times New Roman" w:hAnsi="Times New Roman" w:cs="Times New Roman"/>
          <w:sz w:val="24"/>
          <w:szCs w:val="24"/>
        </w:rPr>
      </w:pPr>
    </w:p>
    <w:p w14:paraId="7EF57168" w14:textId="77777777" w:rsidR="00103AF5" w:rsidRPr="004F3E51" w:rsidRDefault="00103AF5" w:rsidP="00103AF5">
      <w:pPr>
        <w:snapToGrid w:val="0"/>
        <w:spacing w:after="0" w:line="480" w:lineRule="auto"/>
        <w:rPr>
          <w:rFonts w:ascii="Times New Roman" w:hAnsi="Times New Roman" w:cs="Times New Roman"/>
          <w:b/>
          <w:sz w:val="24"/>
          <w:szCs w:val="24"/>
        </w:rPr>
      </w:pPr>
      <w:r w:rsidRPr="004F3E51">
        <w:rPr>
          <w:rFonts w:ascii="Times New Roman" w:hAnsi="Times New Roman" w:cs="Times New Roman"/>
          <w:b/>
          <w:sz w:val="24"/>
          <w:szCs w:val="24"/>
        </w:rPr>
        <w:lastRenderedPageBreak/>
        <w:t>References</w:t>
      </w:r>
    </w:p>
    <w:p w14:paraId="290CAF93"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hAnsi="Times New Roman" w:cs="Times New Roman"/>
          <w:b/>
          <w:sz w:val="24"/>
          <w:szCs w:val="24"/>
          <w:lang w:val="en-MY"/>
        </w:rPr>
        <w:fldChar w:fldCharType="begin" w:fldLock="1"/>
      </w:r>
      <w:r>
        <w:rPr>
          <w:rFonts w:ascii="Times New Roman" w:hAnsi="Times New Roman" w:cs="Times New Roman"/>
          <w:b/>
          <w:sz w:val="24"/>
          <w:szCs w:val="24"/>
          <w:lang w:val="en-MY"/>
        </w:rPr>
        <w:instrText xml:space="preserve">ADDIN Mendeley Bibliography CSL_BIBLIOGRAPHY </w:instrText>
      </w:r>
      <w:r>
        <w:rPr>
          <w:rFonts w:ascii="Times New Roman" w:hAnsi="Times New Roman" w:cs="Times New Roman"/>
          <w:b/>
          <w:sz w:val="24"/>
          <w:szCs w:val="24"/>
          <w:lang w:val="en-MY"/>
        </w:rPr>
        <w:fldChar w:fldCharType="separate"/>
      </w:r>
      <w:r w:rsidRPr="00015C81">
        <w:rPr>
          <w:rFonts w:ascii="Times New Roman" w:hAnsi="Times New Roman" w:cs="Times New Roman"/>
          <w:noProof/>
          <w:sz w:val="24"/>
          <w:szCs w:val="24"/>
        </w:rPr>
        <w:t xml:space="preserve">Akaike, H. (1976). A new look at the statistical model identification. </w:t>
      </w:r>
      <w:r w:rsidRPr="00015C81">
        <w:rPr>
          <w:rFonts w:ascii="Times New Roman" w:hAnsi="Times New Roman" w:cs="Times New Roman"/>
          <w:i/>
          <w:iCs/>
          <w:noProof/>
          <w:sz w:val="24"/>
          <w:szCs w:val="24"/>
        </w:rPr>
        <w:t>IEEE Transactions on Automatic Control</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19</w:t>
      </w:r>
      <w:r w:rsidRPr="00015C81">
        <w:rPr>
          <w:rFonts w:ascii="Times New Roman" w:hAnsi="Times New Roman" w:cs="Times New Roman"/>
          <w:noProof/>
          <w:sz w:val="24"/>
          <w:szCs w:val="24"/>
        </w:rPr>
        <w:t>(6), 716–723.</w:t>
      </w:r>
    </w:p>
    <w:p w14:paraId="66B8707E"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Barnett, T. P., Adam, J. C., &amp; Lettenmaier, D. P. (2005). Potential impacts of a warming climate on water availability in snow-dominated regions. </w:t>
      </w:r>
      <w:r w:rsidRPr="00015C81">
        <w:rPr>
          <w:rFonts w:ascii="Times New Roman" w:hAnsi="Times New Roman" w:cs="Times New Roman"/>
          <w:i/>
          <w:iCs/>
          <w:noProof/>
          <w:sz w:val="24"/>
          <w:szCs w:val="24"/>
        </w:rPr>
        <w:t>Nature</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438</w:t>
      </w:r>
      <w:r w:rsidRPr="00015C81">
        <w:rPr>
          <w:rFonts w:ascii="Times New Roman" w:hAnsi="Times New Roman" w:cs="Times New Roman"/>
          <w:noProof/>
          <w:sz w:val="24"/>
          <w:szCs w:val="24"/>
        </w:rPr>
        <w:t>(7066), 303–309. https://doi.org/10.1038/nature04141</w:t>
      </w:r>
    </w:p>
    <w:p w14:paraId="4CC086A9"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Barré, J., Petetin, H., Colette, A., Guevara, M., Peuch, V. H., Rouil, L., … Kouznetsov, R. (2021). Estimating lockdown-induced European NO</w:t>
      </w:r>
      <w:r w:rsidRPr="00D937FB">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w:t>
      </w:r>
      <w:r w:rsidRPr="00015C81">
        <w:rPr>
          <w:rFonts w:ascii="Times New Roman" w:hAnsi="Times New Roman" w:cs="Times New Roman"/>
          <w:noProof/>
          <w:sz w:val="24"/>
          <w:szCs w:val="24"/>
        </w:rPr>
        <w:t xml:space="preserve">changes using satellite and surface observations and air quality models. </w:t>
      </w:r>
      <w:r w:rsidRPr="00015C81">
        <w:rPr>
          <w:rFonts w:ascii="Times New Roman" w:hAnsi="Times New Roman" w:cs="Times New Roman"/>
          <w:i/>
          <w:iCs/>
          <w:noProof/>
          <w:sz w:val="24"/>
          <w:szCs w:val="24"/>
        </w:rPr>
        <w:t>Atmospheric Chemistry and Physics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21</w:t>
      </w:r>
      <w:r w:rsidRPr="00015C81">
        <w:rPr>
          <w:rFonts w:ascii="Times New Roman" w:hAnsi="Times New Roman" w:cs="Times New Roman"/>
          <w:noProof/>
          <w:sz w:val="24"/>
          <w:szCs w:val="24"/>
        </w:rPr>
        <w:t>(9), 7373–7394. https://doi.org/10.5194/acp-21-7373-2021</w:t>
      </w:r>
    </w:p>
    <w:p w14:paraId="10FAE906"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Bartoń, K. (2020). </w:t>
      </w:r>
      <w:r w:rsidRPr="00015C81">
        <w:rPr>
          <w:rFonts w:ascii="Times New Roman" w:hAnsi="Times New Roman" w:cs="Times New Roman"/>
          <w:i/>
          <w:iCs/>
          <w:noProof/>
          <w:sz w:val="24"/>
          <w:szCs w:val="24"/>
        </w:rPr>
        <w:t>MuMIn: Multi-Model Inference. R package version 1.43.17</w:t>
      </w:r>
      <w:r w:rsidRPr="00015C81">
        <w:rPr>
          <w:rFonts w:ascii="Times New Roman" w:hAnsi="Times New Roman" w:cs="Times New Roman"/>
          <w:noProof/>
          <w:sz w:val="24"/>
          <w:szCs w:val="24"/>
        </w:rPr>
        <w:t>. Retrieved from https://cran.r-project.org/web/packages/MuMIn/</w:t>
      </w:r>
    </w:p>
    <w:p w14:paraId="04CA46AD"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Bastos, A., Ciais, P., Friedlingstein, P., Sitch, S., Pongratz, J., Fan, L., … Zaehle, S. (2020). Direct and seasonal legacy effects of the 2018 heat wave and drought on European ecosystem productivity. </w:t>
      </w:r>
      <w:r w:rsidRPr="00015C81">
        <w:rPr>
          <w:rFonts w:ascii="Times New Roman" w:hAnsi="Times New Roman" w:cs="Times New Roman"/>
          <w:i/>
          <w:iCs/>
          <w:noProof/>
          <w:sz w:val="24"/>
          <w:szCs w:val="24"/>
        </w:rPr>
        <w:t>Science Advances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6</w:t>
      </w:r>
      <w:r w:rsidRPr="00015C81">
        <w:rPr>
          <w:rFonts w:ascii="Times New Roman" w:hAnsi="Times New Roman" w:cs="Times New Roman"/>
          <w:noProof/>
          <w:sz w:val="24"/>
          <w:szCs w:val="24"/>
        </w:rPr>
        <w:t>(24), 1–14. https://doi.org/10.1126/sciadv.aba2724</w:t>
      </w:r>
    </w:p>
    <w:p w14:paraId="5F0616DD"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Bauwens, M., Compernolle, S., Stavrakou, T., Müller, J. F., van Gent, J., Eskes, H., … Zehner, C. (2020). Impact of Coronavirus Outbreak on NO2 Pollution Assessed Using TROPOMI and OMI Observations. </w:t>
      </w:r>
      <w:r w:rsidRPr="00015C81">
        <w:rPr>
          <w:rFonts w:ascii="Times New Roman" w:hAnsi="Times New Roman" w:cs="Times New Roman"/>
          <w:i/>
          <w:iCs/>
          <w:noProof/>
          <w:sz w:val="24"/>
          <w:szCs w:val="24"/>
        </w:rPr>
        <w:t>Geophysical Research Letters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47</w:t>
      </w:r>
      <w:r w:rsidRPr="00015C81">
        <w:rPr>
          <w:rFonts w:ascii="Times New Roman" w:hAnsi="Times New Roman" w:cs="Times New Roman"/>
          <w:noProof/>
          <w:sz w:val="24"/>
          <w:szCs w:val="24"/>
        </w:rPr>
        <w:t>(11), 1–9. https://doi.org/10.1029/2020GL087978</w:t>
      </w:r>
    </w:p>
    <w:p w14:paraId="07A80916"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Bressi, M., Sciare, J., Ghersi, V., Mihalopoulos, N., Petit, J. E., Nicolas, J. B., … Theodosi, C. (2014). Sources and geographical origins of fine aerosols in Paris (France). </w:t>
      </w:r>
      <w:r w:rsidRPr="00015C81">
        <w:rPr>
          <w:rFonts w:ascii="Times New Roman" w:hAnsi="Times New Roman" w:cs="Times New Roman"/>
          <w:i/>
          <w:iCs/>
          <w:noProof/>
          <w:sz w:val="24"/>
          <w:szCs w:val="24"/>
        </w:rPr>
        <w:t>Atmospheric Chemistry and Physics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14</w:t>
      </w:r>
      <w:r w:rsidRPr="00015C81">
        <w:rPr>
          <w:rFonts w:ascii="Times New Roman" w:hAnsi="Times New Roman" w:cs="Times New Roman"/>
          <w:noProof/>
          <w:sz w:val="24"/>
          <w:szCs w:val="24"/>
        </w:rPr>
        <w:t>(16), 8813–8839. https://doi.org/10.5194/acp-14-8813-2014</w:t>
      </w:r>
    </w:p>
    <w:p w14:paraId="54713A94"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Buras, A., Rammig, A., &amp; S. Zang, C. (2020). Quantifying impacts of the 2018 drought on European ecosystems in comparison to 2003. </w:t>
      </w:r>
      <w:r w:rsidRPr="00015C81">
        <w:rPr>
          <w:rFonts w:ascii="Times New Roman" w:hAnsi="Times New Roman" w:cs="Times New Roman"/>
          <w:i/>
          <w:iCs/>
          <w:noProof/>
          <w:sz w:val="24"/>
          <w:szCs w:val="24"/>
        </w:rPr>
        <w:t>Biogeosciences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17</w:t>
      </w:r>
      <w:r w:rsidRPr="00015C81">
        <w:rPr>
          <w:rFonts w:ascii="Times New Roman" w:hAnsi="Times New Roman" w:cs="Times New Roman"/>
          <w:noProof/>
          <w:sz w:val="24"/>
          <w:szCs w:val="24"/>
        </w:rPr>
        <w:t xml:space="preserve">(6), 1655–1672. </w:t>
      </w:r>
      <w:r w:rsidRPr="00015C81">
        <w:rPr>
          <w:rFonts w:ascii="Times New Roman" w:hAnsi="Times New Roman" w:cs="Times New Roman"/>
          <w:noProof/>
          <w:sz w:val="24"/>
          <w:szCs w:val="24"/>
        </w:rPr>
        <w:lastRenderedPageBreak/>
        <w:t>https://doi.org/10.5194/bg-17-1655-2020</w:t>
      </w:r>
    </w:p>
    <w:p w14:paraId="16E11257"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Carbone, C., Decesari, S., Paglione, M., Giulianelli, L., Rinaldi, M., Marinoni, A., … Facchini, M. C. (2014). 3-year chemical composition of free tropospheric PM1 at the Mt. Cimone GAW global station - South Europe - 2165m a.s.l. </w:t>
      </w:r>
      <w:r w:rsidRPr="00015C81">
        <w:rPr>
          <w:rFonts w:ascii="Times New Roman" w:hAnsi="Times New Roman" w:cs="Times New Roman"/>
          <w:i/>
          <w:iCs/>
          <w:noProof/>
          <w:sz w:val="24"/>
          <w:szCs w:val="24"/>
        </w:rPr>
        <w:t>Atmospheric Environment</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87</w:t>
      </w:r>
      <w:r w:rsidRPr="00015C81">
        <w:rPr>
          <w:rFonts w:ascii="Times New Roman" w:hAnsi="Times New Roman" w:cs="Times New Roman"/>
          <w:noProof/>
          <w:sz w:val="24"/>
          <w:szCs w:val="24"/>
        </w:rPr>
        <w:t>, 218–227. https://doi.org/10.1016/j.atmosenv.2014.01.048</w:t>
      </w:r>
    </w:p>
    <w:p w14:paraId="53894D86"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Choler, P. (2015). Growth response of temperate mountain grasslands to inter-annual variations in snow cover duration. </w:t>
      </w:r>
      <w:r w:rsidRPr="00015C81">
        <w:rPr>
          <w:rFonts w:ascii="Times New Roman" w:hAnsi="Times New Roman" w:cs="Times New Roman"/>
          <w:i/>
          <w:iCs/>
          <w:noProof/>
          <w:sz w:val="24"/>
          <w:szCs w:val="24"/>
        </w:rPr>
        <w:t>Biogeosciences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12</w:t>
      </w:r>
      <w:r w:rsidRPr="00015C81">
        <w:rPr>
          <w:rFonts w:ascii="Times New Roman" w:hAnsi="Times New Roman" w:cs="Times New Roman"/>
          <w:noProof/>
          <w:sz w:val="24"/>
          <w:szCs w:val="24"/>
        </w:rPr>
        <w:t>(12), 3885–3897. https://doi.org/10.5194/bg-12-3885-2015</w:t>
      </w:r>
    </w:p>
    <w:p w14:paraId="556FF72E"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Ciais, P., Reichstein, M., Viovy, N., Granier, A., Ogée, J., Allard, V., … Valentini, R. (2005). Europe-wide reduction in primary productivity caused by the heat and drought in 2003. </w:t>
      </w:r>
      <w:r w:rsidRPr="00015C81">
        <w:rPr>
          <w:rFonts w:ascii="Times New Roman" w:hAnsi="Times New Roman" w:cs="Times New Roman"/>
          <w:i/>
          <w:iCs/>
          <w:noProof/>
          <w:sz w:val="24"/>
          <w:szCs w:val="24"/>
        </w:rPr>
        <w:t>Nature</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437</w:t>
      </w:r>
      <w:r w:rsidRPr="00015C81">
        <w:rPr>
          <w:rFonts w:ascii="Times New Roman" w:hAnsi="Times New Roman" w:cs="Times New Roman"/>
          <w:noProof/>
          <w:sz w:val="24"/>
          <w:szCs w:val="24"/>
        </w:rPr>
        <w:t>(7058), 529–533. https://doi.org/10.1038/nature03972</w:t>
      </w:r>
    </w:p>
    <w:p w14:paraId="436A6FF6"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Copernicus: 2020 warmest year on record for Europe; globally, 2020 ties with 2016 for warmest year recorded. (2021). Retrieved from Copernicus Climate Change Service website: https://climate.copernicus.eu/copernicus-2020-warmest-year-record-europe-globally-2020-ties-2016-warmest-year-recorded</w:t>
      </w:r>
    </w:p>
    <w:p w14:paraId="6555F872"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Coyne, P. I., &amp; Bingham, G. E. (1978). Photosynthesis and Stomatal Light Responses in Snap Beans Exposed to Hydrogen Sulfide and Ozone. </w:t>
      </w:r>
      <w:r w:rsidRPr="00015C81">
        <w:rPr>
          <w:rFonts w:ascii="Times New Roman" w:hAnsi="Times New Roman" w:cs="Times New Roman"/>
          <w:i/>
          <w:iCs/>
          <w:noProof/>
          <w:sz w:val="24"/>
          <w:szCs w:val="24"/>
        </w:rPr>
        <w:t>Journal of the Air Pollution Control Association</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28</w:t>
      </w:r>
      <w:r w:rsidRPr="00015C81">
        <w:rPr>
          <w:rFonts w:ascii="Times New Roman" w:hAnsi="Times New Roman" w:cs="Times New Roman"/>
          <w:noProof/>
          <w:sz w:val="24"/>
          <w:szCs w:val="24"/>
        </w:rPr>
        <w:t>(11), 1119–1123. https://doi.org/10.1080/00022470.1978.10470715</w:t>
      </w:r>
    </w:p>
    <w:p w14:paraId="2E292394"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Desai, A. R., Wohlfahrt, G., Zeeman, M. J., Katata, G., Eugster, W., Montagnani, L., … Schmid, H. P. (2016). Montane ecosystem productivity responds more to global circulation patterns than climatic trends. </w:t>
      </w:r>
      <w:r w:rsidRPr="00015C81">
        <w:rPr>
          <w:rFonts w:ascii="Times New Roman" w:hAnsi="Times New Roman" w:cs="Times New Roman"/>
          <w:i/>
          <w:iCs/>
          <w:noProof/>
          <w:sz w:val="24"/>
          <w:szCs w:val="24"/>
        </w:rPr>
        <w:t>Environmental Research Letters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11</w:t>
      </w:r>
      <w:r w:rsidRPr="00015C81">
        <w:rPr>
          <w:rFonts w:ascii="Times New Roman" w:hAnsi="Times New Roman" w:cs="Times New Roman"/>
          <w:noProof/>
          <w:sz w:val="24"/>
          <w:szCs w:val="24"/>
        </w:rPr>
        <w:t>(2). https://doi.org/10.1088/1748-9326/11/2/024013</w:t>
      </w:r>
    </w:p>
    <w:p w14:paraId="7B46A966"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Diémoz, H., Barnaba, F., Magri, T., Pession, G., Dionisi, D., Pittavino, S., … Gobbi, G. P. (2019). Transport of Po Valley aerosol pollution to the northwestern Alps-Part 1: Phenomenology. </w:t>
      </w:r>
      <w:r w:rsidRPr="00015C81">
        <w:rPr>
          <w:rFonts w:ascii="Times New Roman" w:hAnsi="Times New Roman" w:cs="Times New Roman"/>
          <w:i/>
          <w:iCs/>
          <w:noProof/>
          <w:sz w:val="24"/>
          <w:szCs w:val="24"/>
        </w:rPr>
        <w:t>Atmospheric Chemistry and Physics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19</w:t>
      </w:r>
      <w:r w:rsidRPr="00015C81">
        <w:rPr>
          <w:rFonts w:ascii="Times New Roman" w:hAnsi="Times New Roman" w:cs="Times New Roman"/>
          <w:noProof/>
          <w:sz w:val="24"/>
          <w:szCs w:val="24"/>
        </w:rPr>
        <w:t xml:space="preserve">(5), 3065–3095. </w:t>
      </w:r>
      <w:r w:rsidRPr="00015C81">
        <w:rPr>
          <w:rFonts w:ascii="Times New Roman" w:hAnsi="Times New Roman" w:cs="Times New Roman"/>
          <w:noProof/>
          <w:sz w:val="24"/>
          <w:szCs w:val="24"/>
        </w:rPr>
        <w:lastRenderedPageBreak/>
        <w:t>https://doi.org/10.5194/acp-19-3065-2019</w:t>
      </w:r>
    </w:p>
    <w:p w14:paraId="60DD9694"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Diémoz, H., Gobbi, G. P., Magri, T., Pession, G., Pittavino, S., Tombolato, I. K. F., … Barnaba, F. (2019). Transport of Po Valley aerosol pollution to the northwestern Alps – Part 2: Long-term impact on air quality Henri. </w:t>
      </w:r>
      <w:r w:rsidRPr="00015C81">
        <w:rPr>
          <w:rFonts w:ascii="Times New Roman" w:hAnsi="Times New Roman" w:cs="Times New Roman"/>
          <w:i/>
          <w:iCs/>
          <w:noProof/>
          <w:sz w:val="24"/>
          <w:szCs w:val="24"/>
        </w:rPr>
        <w:t>Atmospheric Chemistry and Physics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19</w:t>
      </w:r>
      <w:r w:rsidRPr="00015C81">
        <w:rPr>
          <w:rFonts w:ascii="Times New Roman" w:hAnsi="Times New Roman" w:cs="Times New Roman"/>
          <w:noProof/>
          <w:sz w:val="24"/>
          <w:szCs w:val="24"/>
        </w:rPr>
        <w:t>(5), 10129–10160. https://doi.org/10.5194/acp-19-3065-2019</w:t>
      </w:r>
    </w:p>
    <w:p w14:paraId="2FE69497"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El-Madany, T. S., Reichstein, M., Carrara, A., Martín, M. P., Moreno, G., Gonzalez-Cascon, R., … Migliavacca, M. (2021). How Nitrogen and Phosphorus Availability Change Water Use Efficiency in a Mediterranean Savanna Ecosystem. </w:t>
      </w:r>
      <w:r w:rsidRPr="00015C81">
        <w:rPr>
          <w:rFonts w:ascii="Times New Roman" w:hAnsi="Times New Roman" w:cs="Times New Roman"/>
          <w:i/>
          <w:iCs/>
          <w:noProof/>
          <w:sz w:val="24"/>
          <w:szCs w:val="24"/>
        </w:rPr>
        <w:t>Journal of Geophysical Research: Biogeosciences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126</w:t>
      </w:r>
      <w:r w:rsidRPr="00015C81">
        <w:rPr>
          <w:rFonts w:ascii="Times New Roman" w:hAnsi="Times New Roman" w:cs="Times New Roman"/>
          <w:noProof/>
          <w:sz w:val="24"/>
          <w:szCs w:val="24"/>
        </w:rPr>
        <w:t>(5). https://doi.org/10.1029/2020JG006005</w:t>
      </w:r>
    </w:p>
    <w:p w14:paraId="3BDF431E"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Escalona, J. M., Flexas, J., &amp; Medrano, H. (1999). Stomatal and non-stomatal limitations of photosynthesis under water stress in field-grown grapevines. </w:t>
      </w:r>
      <w:r w:rsidRPr="00015C81">
        <w:rPr>
          <w:rFonts w:ascii="Times New Roman" w:hAnsi="Times New Roman" w:cs="Times New Roman"/>
          <w:i/>
          <w:iCs/>
          <w:noProof/>
          <w:sz w:val="24"/>
          <w:szCs w:val="24"/>
        </w:rPr>
        <w:t>Australian Journal of Plant Physiology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26</w:t>
      </w:r>
      <w:r w:rsidRPr="00015C81">
        <w:rPr>
          <w:rFonts w:ascii="Times New Roman" w:hAnsi="Times New Roman" w:cs="Times New Roman"/>
          <w:noProof/>
          <w:sz w:val="24"/>
          <w:szCs w:val="24"/>
        </w:rPr>
        <w:t>, 421–433.</w:t>
      </w:r>
    </w:p>
    <w:p w14:paraId="7F1E9CB4"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Falge, E., Baldocchi, D., Olson, R., Anthoni, P., Aubinet, M., Bernhofer, C., … Wofsy, S. (2001). Gap filling strategies for defensible annual sums of net ecosystem exchange. </w:t>
      </w:r>
      <w:r w:rsidRPr="00015C81">
        <w:rPr>
          <w:rFonts w:ascii="Times New Roman" w:hAnsi="Times New Roman" w:cs="Times New Roman"/>
          <w:i/>
          <w:iCs/>
          <w:noProof/>
          <w:sz w:val="24"/>
          <w:szCs w:val="24"/>
        </w:rPr>
        <w:t>Agricultural and Forest Meteorology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107</w:t>
      </w:r>
      <w:r w:rsidRPr="00015C81">
        <w:rPr>
          <w:rFonts w:ascii="Times New Roman" w:hAnsi="Times New Roman" w:cs="Times New Roman"/>
          <w:noProof/>
          <w:sz w:val="24"/>
          <w:szCs w:val="24"/>
        </w:rPr>
        <w:t>(1), 43–69. https://doi.org/10.1016/S0168-1923(00)00225-2</w:t>
      </w:r>
    </w:p>
    <w:p w14:paraId="546E982E"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Fares, S., Vargas, R., Detto, M., Goldstein, A. H., Karlik, J., Paoletti, E., &amp; Vitale, M. (2013). Tropospheric ozone reduces carbon assimilation in trees: Estimates from analysis of continuous flux measurements. </w:t>
      </w:r>
      <w:r w:rsidRPr="00015C81">
        <w:rPr>
          <w:rFonts w:ascii="Times New Roman" w:hAnsi="Times New Roman" w:cs="Times New Roman"/>
          <w:i/>
          <w:iCs/>
          <w:noProof/>
          <w:sz w:val="24"/>
          <w:szCs w:val="24"/>
        </w:rPr>
        <w:t>Global Change Biology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19</w:t>
      </w:r>
      <w:r w:rsidRPr="00015C81">
        <w:rPr>
          <w:rFonts w:ascii="Times New Roman" w:hAnsi="Times New Roman" w:cs="Times New Roman"/>
          <w:noProof/>
          <w:sz w:val="24"/>
          <w:szCs w:val="24"/>
        </w:rPr>
        <w:t>(8), 2427–2443. https://doi.org/10.1111/gcb.12222</w:t>
      </w:r>
    </w:p>
    <w:p w14:paraId="31D1010B"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Finardi, S., Silibello, C., D’Allura, A., &amp; Radice, P. (2014). Analysis of pollutants exchange between the Po Valley and the surrounding European region. </w:t>
      </w:r>
      <w:r w:rsidRPr="00015C81">
        <w:rPr>
          <w:rFonts w:ascii="Times New Roman" w:hAnsi="Times New Roman" w:cs="Times New Roman"/>
          <w:i/>
          <w:iCs/>
          <w:noProof/>
          <w:sz w:val="24"/>
          <w:szCs w:val="24"/>
        </w:rPr>
        <w:t>Urban Climate</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10</w:t>
      </w:r>
      <w:r w:rsidRPr="00015C81">
        <w:rPr>
          <w:rFonts w:ascii="Times New Roman" w:hAnsi="Times New Roman" w:cs="Times New Roman"/>
          <w:noProof/>
          <w:sz w:val="24"/>
          <w:szCs w:val="24"/>
        </w:rPr>
        <w:t>, 682–702. https://doi.org/10.1016/j.uclim.2014.02.002</w:t>
      </w:r>
    </w:p>
    <w:p w14:paraId="3A21BECA"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Flexas, J., &amp; Medrano, H. (2002). Drought-inhibition of photosynthesis in C3 plants: Stomatal and non-stomatal limitations revisited. </w:t>
      </w:r>
      <w:r w:rsidRPr="00015C81">
        <w:rPr>
          <w:rFonts w:ascii="Times New Roman" w:hAnsi="Times New Roman" w:cs="Times New Roman"/>
          <w:i/>
          <w:iCs/>
          <w:noProof/>
          <w:sz w:val="24"/>
          <w:szCs w:val="24"/>
        </w:rPr>
        <w:t>Annals of Botany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89</w:t>
      </w:r>
      <w:r w:rsidRPr="00015C81">
        <w:rPr>
          <w:rFonts w:ascii="Times New Roman" w:hAnsi="Times New Roman" w:cs="Times New Roman"/>
          <w:noProof/>
          <w:sz w:val="24"/>
          <w:szCs w:val="24"/>
        </w:rPr>
        <w:t xml:space="preserve">(2), 183–189. </w:t>
      </w:r>
      <w:r w:rsidRPr="00015C81">
        <w:rPr>
          <w:rFonts w:ascii="Times New Roman" w:hAnsi="Times New Roman" w:cs="Times New Roman"/>
          <w:noProof/>
          <w:sz w:val="24"/>
          <w:szCs w:val="24"/>
        </w:rPr>
        <w:lastRenderedPageBreak/>
        <w:t>https://doi.org/10.1093/aob/mcf027</w:t>
      </w:r>
    </w:p>
    <w:p w14:paraId="3BA12346"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Fu, Z., Ciais, P., Prentice, I. C., Gentine, P., Makowski, D., Bastos, A., … Hajima, T. (2022). Atmospheric dryness reduces photosynthesis along a large range of soil water deficits. </w:t>
      </w:r>
      <w:r w:rsidRPr="00015C81">
        <w:rPr>
          <w:rFonts w:ascii="Times New Roman" w:hAnsi="Times New Roman" w:cs="Times New Roman"/>
          <w:i/>
          <w:iCs/>
          <w:noProof/>
          <w:sz w:val="24"/>
          <w:szCs w:val="24"/>
        </w:rPr>
        <w:t>Nature Communications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13</w:t>
      </w:r>
      <w:r w:rsidRPr="00015C81">
        <w:rPr>
          <w:rFonts w:ascii="Times New Roman" w:hAnsi="Times New Roman" w:cs="Times New Roman"/>
          <w:noProof/>
          <w:sz w:val="24"/>
          <w:szCs w:val="24"/>
        </w:rPr>
        <w:t>(1), 1–10. https://doi.org/10.1038/s41467-022-28652-7</w:t>
      </w:r>
    </w:p>
    <w:p w14:paraId="2FD310BE"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Gharun, M., Hörtnagl, L., Paul-Limoges, E., Ghiasi, S., Feigenwinter, I., Burri, S., … Buchmann, N. (2020). Physiological response of Swiss ecosystems to 2018 drought across plant types and elevation: Summer 2018 drought in Switzerland. </w:t>
      </w:r>
      <w:r w:rsidRPr="00015C81">
        <w:rPr>
          <w:rFonts w:ascii="Times New Roman" w:hAnsi="Times New Roman" w:cs="Times New Roman"/>
          <w:i/>
          <w:iCs/>
          <w:noProof/>
          <w:sz w:val="24"/>
          <w:szCs w:val="24"/>
        </w:rPr>
        <w:t>Philosophical Transactions of the Royal Society B: Biological Sciences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375</w:t>
      </w:r>
      <w:r w:rsidRPr="00015C81">
        <w:rPr>
          <w:rFonts w:ascii="Times New Roman" w:hAnsi="Times New Roman" w:cs="Times New Roman"/>
          <w:noProof/>
          <w:sz w:val="24"/>
          <w:szCs w:val="24"/>
        </w:rPr>
        <w:t>(1810). https://doi.org/10.1098/rstb.2019.0521</w:t>
      </w:r>
    </w:p>
    <w:p w14:paraId="4F361A78"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Gourlez de la Motte, L., Beauclaire, Q., Heinesch, B., Cuntz, M., Foltýnová, L., Šigut, L., … Longdoz, B. (2020). Non-stomatal processes reduce gross primary productivity in temperate forest ecosystems during severe edaphic drought: Edaphic drought in forest ecosystems. </w:t>
      </w:r>
      <w:r w:rsidRPr="00015C81">
        <w:rPr>
          <w:rFonts w:ascii="Times New Roman" w:hAnsi="Times New Roman" w:cs="Times New Roman"/>
          <w:i/>
          <w:iCs/>
          <w:noProof/>
          <w:sz w:val="24"/>
          <w:szCs w:val="24"/>
        </w:rPr>
        <w:t>Philosophical Transactions of the Royal Society B: Biological Sciences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375</w:t>
      </w:r>
      <w:r w:rsidRPr="00015C81">
        <w:rPr>
          <w:rFonts w:ascii="Times New Roman" w:hAnsi="Times New Roman" w:cs="Times New Roman"/>
          <w:noProof/>
          <w:sz w:val="24"/>
          <w:szCs w:val="24"/>
        </w:rPr>
        <w:t>(1810). https://doi.org/10.1098/rstb.2019.0527</w:t>
      </w:r>
    </w:p>
    <w:p w14:paraId="69A25870"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Grene, R. (2002). Oxidative Stress and Acclimation Mechanisms in Plants. </w:t>
      </w:r>
      <w:r w:rsidRPr="00015C81">
        <w:rPr>
          <w:rFonts w:ascii="Times New Roman" w:hAnsi="Times New Roman" w:cs="Times New Roman"/>
          <w:i/>
          <w:iCs/>
          <w:noProof/>
          <w:sz w:val="24"/>
          <w:szCs w:val="24"/>
        </w:rPr>
        <w:t>The Arabidopsis Book</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w:t>
      </w:r>
      <w:r w:rsidRPr="00015C81">
        <w:rPr>
          <w:rFonts w:ascii="Times New Roman" w:hAnsi="Times New Roman" w:cs="Times New Roman"/>
          <w:noProof/>
          <w:sz w:val="24"/>
          <w:szCs w:val="24"/>
        </w:rPr>
        <w:t>, e0036. https://doi.org/10.1199/tab.0036.1</w:t>
      </w:r>
    </w:p>
    <w:p w14:paraId="1427C1A4"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Gschwind, B., Wald, L., Blanc, P., Lefèvre, M., Schroedter-Homscheidt, M., &amp; Arola, A. (2019). Improving the McClear model estimating the downwelling solar radiation at ground level in cloud-free conditions - McClear-v3. </w:t>
      </w:r>
      <w:r w:rsidRPr="00015C81">
        <w:rPr>
          <w:rFonts w:ascii="Times New Roman" w:hAnsi="Times New Roman" w:cs="Times New Roman"/>
          <w:i/>
          <w:iCs/>
          <w:noProof/>
          <w:sz w:val="24"/>
          <w:szCs w:val="24"/>
        </w:rPr>
        <w:t>Meteorologische Zeitschrift</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28</w:t>
      </w:r>
      <w:r w:rsidRPr="00015C81">
        <w:rPr>
          <w:rFonts w:ascii="Times New Roman" w:hAnsi="Times New Roman" w:cs="Times New Roman"/>
          <w:noProof/>
          <w:sz w:val="24"/>
          <w:szCs w:val="24"/>
        </w:rPr>
        <w:t>(2), 147–163. https://doi.org/10.1127/metz/2019/0946</w:t>
      </w:r>
    </w:p>
    <w:p w14:paraId="543C7B35"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Guevara, M., Jorba, O., Soret, A., Petetin, H., Bowdalo, D., Serradell, K., … Pérez Garciá-Pando, C. (2021). Time-resolved emission reductions for atmospheric chemistry modelling in Europe during the COVID-19 lockdowns. </w:t>
      </w:r>
      <w:r w:rsidRPr="00015C81">
        <w:rPr>
          <w:rFonts w:ascii="Times New Roman" w:hAnsi="Times New Roman" w:cs="Times New Roman"/>
          <w:i/>
          <w:iCs/>
          <w:noProof/>
          <w:sz w:val="24"/>
          <w:szCs w:val="24"/>
        </w:rPr>
        <w:t>Atmospheric Chemistry and Physics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21</w:t>
      </w:r>
      <w:r w:rsidRPr="00015C81">
        <w:rPr>
          <w:rFonts w:ascii="Times New Roman" w:hAnsi="Times New Roman" w:cs="Times New Roman"/>
          <w:noProof/>
          <w:sz w:val="24"/>
          <w:szCs w:val="24"/>
        </w:rPr>
        <w:t>(2), 773–797. https://doi.org/10.5194/acp-21-773-2021</w:t>
      </w:r>
    </w:p>
    <w:p w14:paraId="2F4F76CC"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Guevara, M., Petetin, H., Jorba, O., Denier Van Der Gon, H., Kuenen, J., Super, I., … Perez </w:t>
      </w:r>
      <w:r w:rsidRPr="00015C81">
        <w:rPr>
          <w:rFonts w:ascii="Times New Roman" w:hAnsi="Times New Roman" w:cs="Times New Roman"/>
          <w:noProof/>
          <w:sz w:val="24"/>
          <w:szCs w:val="24"/>
        </w:rPr>
        <w:lastRenderedPageBreak/>
        <w:t xml:space="preserve">Garcia-Pando, C. (2022). European primary emissions of criteria pollutants and greenhouse gases in 2020 modulated by the COVID-19 pandemic disruptions. </w:t>
      </w:r>
      <w:r w:rsidRPr="00015C81">
        <w:rPr>
          <w:rFonts w:ascii="Times New Roman" w:hAnsi="Times New Roman" w:cs="Times New Roman"/>
          <w:i/>
          <w:iCs/>
          <w:noProof/>
          <w:sz w:val="24"/>
          <w:szCs w:val="24"/>
        </w:rPr>
        <w:t>Earth System Science Data</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14</w:t>
      </w:r>
      <w:r w:rsidRPr="00015C81">
        <w:rPr>
          <w:rFonts w:ascii="Times New Roman" w:hAnsi="Times New Roman" w:cs="Times New Roman"/>
          <w:noProof/>
          <w:sz w:val="24"/>
          <w:szCs w:val="24"/>
        </w:rPr>
        <w:t>(6), 2521–2552. https://doi.org/10.5194/essd-14-2521-2022</w:t>
      </w:r>
    </w:p>
    <w:p w14:paraId="168D4215"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Hollinger, D. Y., &amp; Richardson, A. D. (2005). Uncertainty in eddy covariance measurements and its application to physiological models. </w:t>
      </w:r>
      <w:r w:rsidRPr="00015C81">
        <w:rPr>
          <w:rFonts w:ascii="Times New Roman" w:hAnsi="Times New Roman" w:cs="Times New Roman"/>
          <w:i/>
          <w:iCs/>
          <w:noProof/>
          <w:sz w:val="24"/>
          <w:szCs w:val="24"/>
        </w:rPr>
        <w:t>Tree Physiology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25</w:t>
      </w:r>
      <w:r w:rsidRPr="00015C81">
        <w:rPr>
          <w:rFonts w:ascii="Times New Roman" w:hAnsi="Times New Roman" w:cs="Times New Roman"/>
          <w:noProof/>
          <w:sz w:val="24"/>
          <w:szCs w:val="24"/>
        </w:rPr>
        <w:t>(7), 873–885. https://doi.org/10.1093/treephys/25.7.873</w:t>
      </w:r>
    </w:p>
    <w:p w14:paraId="442CEE87"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Jactel, H., Petit, J., Desprez-Loustau, M. L., Delzon, S., Piou, D., Battisti, A., &amp; Koricheva, J. (2012). Drought effects on damage by forest insects and pathogens: A meta-analysis. </w:t>
      </w:r>
      <w:r w:rsidRPr="00015C81">
        <w:rPr>
          <w:rFonts w:ascii="Times New Roman" w:hAnsi="Times New Roman" w:cs="Times New Roman"/>
          <w:i/>
          <w:iCs/>
          <w:noProof/>
          <w:sz w:val="24"/>
          <w:szCs w:val="24"/>
        </w:rPr>
        <w:t>Global Change Biology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18</w:t>
      </w:r>
      <w:r w:rsidRPr="00015C81">
        <w:rPr>
          <w:rFonts w:ascii="Times New Roman" w:hAnsi="Times New Roman" w:cs="Times New Roman"/>
          <w:noProof/>
          <w:sz w:val="24"/>
          <w:szCs w:val="24"/>
        </w:rPr>
        <w:t>(1), 267–276. https://doi.org/10.1111/j.1365-2486.2011.02512.x</w:t>
      </w:r>
    </w:p>
    <w:p w14:paraId="0AC79527"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Lasslop, G., Reichstein, M., Papale, D., Richardson, A., Arneth, A., Barr, A., … Wohlfahrt, G. (2010). Separation of net ecosystem exchange into assimilation and respiration using a light response curve approach: Critical issues and global evaluation. </w:t>
      </w:r>
      <w:r w:rsidRPr="00015C81">
        <w:rPr>
          <w:rFonts w:ascii="Times New Roman" w:hAnsi="Times New Roman" w:cs="Times New Roman"/>
          <w:i/>
          <w:iCs/>
          <w:noProof/>
          <w:sz w:val="24"/>
          <w:szCs w:val="24"/>
        </w:rPr>
        <w:t>Global Change Biology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16</w:t>
      </w:r>
      <w:r w:rsidRPr="00015C81">
        <w:rPr>
          <w:rFonts w:ascii="Times New Roman" w:hAnsi="Times New Roman" w:cs="Times New Roman"/>
          <w:noProof/>
          <w:sz w:val="24"/>
          <w:szCs w:val="24"/>
        </w:rPr>
        <w:t>(1), 187–208. https://doi.org/10.1111/j.1365-2486.2009.02041.x</w:t>
      </w:r>
    </w:p>
    <w:p w14:paraId="25B1A00F"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Lefèvre, M., Oumbe, A., Blanc, P., Espinar, B., Gschwind, B., Qu, Z., … Morcrette, J. J. (2013). McClear: A new model estimating downwelling solar radiation at ground level in clear-sky conditions. </w:t>
      </w:r>
      <w:r w:rsidRPr="00015C81">
        <w:rPr>
          <w:rFonts w:ascii="Times New Roman" w:hAnsi="Times New Roman" w:cs="Times New Roman"/>
          <w:i/>
          <w:iCs/>
          <w:noProof/>
          <w:sz w:val="24"/>
          <w:szCs w:val="24"/>
        </w:rPr>
        <w:t>Atmospheric Measurement Techniques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6</w:t>
      </w:r>
      <w:r w:rsidRPr="00015C81">
        <w:rPr>
          <w:rFonts w:ascii="Times New Roman" w:hAnsi="Times New Roman" w:cs="Times New Roman"/>
          <w:noProof/>
          <w:sz w:val="24"/>
          <w:szCs w:val="24"/>
        </w:rPr>
        <w:t>(9), 2403–2418. https://doi.org/10.5194/amt-6-2403-2013</w:t>
      </w:r>
    </w:p>
    <w:p w14:paraId="2A561D57"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Li, X., Wang, Y. P., Lu, X., &amp; Yan, J. (2021). Diagnosing the impacts of climate extremes on the interannual variations of carbon fluxes of a subtropical evergreen mixed forest. </w:t>
      </w:r>
      <w:r w:rsidRPr="00015C81">
        <w:rPr>
          <w:rFonts w:ascii="Times New Roman" w:hAnsi="Times New Roman" w:cs="Times New Roman"/>
          <w:i/>
          <w:iCs/>
          <w:noProof/>
          <w:sz w:val="24"/>
          <w:szCs w:val="24"/>
        </w:rPr>
        <w:t>Agricultural and Forest Meteorology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307</w:t>
      </w:r>
      <w:r w:rsidRPr="00015C81">
        <w:rPr>
          <w:rFonts w:ascii="Times New Roman" w:hAnsi="Times New Roman" w:cs="Times New Roman"/>
          <w:noProof/>
          <w:sz w:val="24"/>
          <w:szCs w:val="24"/>
        </w:rPr>
        <w:t>, 108507. https://doi.org/10.1016/j.agrformet.2021.108507</w:t>
      </w:r>
    </w:p>
    <w:p w14:paraId="44B06DCB"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Liu, P., Zha, T., Jia, X., Black, T. A., Jassal, R. S., Ma, J., … Wu, Y. (2019). Different Effects of Spring and Summer Droughts on Ecosystem Carbon and Water Exchanges in a Semiarid Shrubland Ecosystem in Northwest China. </w:t>
      </w:r>
      <w:r w:rsidRPr="00015C81">
        <w:rPr>
          <w:rFonts w:ascii="Times New Roman" w:hAnsi="Times New Roman" w:cs="Times New Roman"/>
          <w:i/>
          <w:iCs/>
          <w:noProof/>
          <w:sz w:val="24"/>
          <w:szCs w:val="24"/>
        </w:rPr>
        <w:t>Ecosystems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22</w:t>
      </w:r>
      <w:r w:rsidRPr="00015C81">
        <w:rPr>
          <w:rFonts w:ascii="Times New Roman" w:hAnsi="Times New Roman" w:cs="Times New Roman"/>
          <w:noProof/>
          <w:sz w:val="24"/>
          <w:szCs w:val="24"/>
        </w:rPr>
        <w:t xml:space="preserve">(8), 1869–1885. </w:t>
      </w:r>
      <w:r w:rsidRPr="00015C81">
        <w:rPr>
          <w:rFonts w:ascii="Times New Roman" w:hAnsi="Times New Roman" w:cs="Times New Roman"/>
          <w:noProof/>
          <w:sz w:val="24"/>
          <w:szCs w:val="24"/>
        </w:rPr>
        <w:lastRenderedPageBreak/>
        <w:t>https://doi.org/10.1007/s10021-019-00379-5</w:t>
      </w:r>
    </w:p>
    <w:p w14:paraId="3F70E0C2"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Liu, S., Xing, J., Zhao, B., Wang, J., Wang, S., Zhang, X., &amp; Ding, A. (2019). Understanding of Aerosol–Climate Interactions in China: Aerosol Impacts on Solar Radiation, Temperature, Cloud, and Precipitation and Its Changes Under Future Climate and Emission Scenarios. </w:t>
      </w:r>
      <w:r w:rsidRPr="00015C81">
        <w:rPr>
          <w:rFonts w:ascii="Times New Roman" w:hAnsi="Times New Roman" w:cs="Times New Roman"/>
          <w:i/>
          <w:iCs/>
          <w:noProof/>
          <w:sz w:val="24"/>
          <w:szCs w:val="24"/>
        </w:rPr>
        <w:t>Current Pollution Reports</w:t>
      </w:r>
      <w:r w:rsidRPr="00015C81">
        <w:rPr>
          <w:rFonts w:ascii="Times New Roman" w:hAnsi="Times New Roman" w:cs="Times New Roman"/>
          <w:noProof/>
          <w:sz w:val="24"/>
          <w:szCs w:val="24"/>
        </w:rPr>
        <w:t>. https://doi.org/10.1007/s40726-019-00107-6</w:t>
      </w:r>
    </w:p>
    <w:p w14:paraId="686B4E69"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Manders-Groot, A. M. M., Segers, A. J., Jonkers, S., Schaap, M., Timmermans, R., Hendriks, C., … Banzhaf, S. (2016). LOTOS-EUROS v2.0 Reference Guide. </w:t>
      </w:r>
      <w:r w:rsidRPr="00015C81">
        <w:rPr>
          <w:rFonts w:ascii="Times New Roman" w:hAnsi="Times New Roman" w:cs="Times New Roman"/>
          <w:i/>
          <w:iCs/>
          <w:noProof/>
          <w:sz w:val="24"/>
          <w:szCs w:val="24"/>
        </w:rPr>
        <w:t>TNO Report 2016 R10898</w:t>
      </w:r>
      <w:r w:rsidRPr="00015C81">
        <w:rPr>
          <w:rFonts w:ascii="Times New Roman" w:hAnsi="Times New Roman" w:cs="Times New Roman"/>
          <w:noProof/>
          <w:sz w:val="24"/>
          <w:szCs w:val="24"/>
        </w:rPr>
        <w:t>, 77.</w:t>
      </w:r>
    </w:p>
    <w:p w14:paraId="77AC0D79"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MathWorks. (n.d.). </w:t>
      </w:r>
      <w:r w:rsidRPr="00015C81">
        <w:rPr>
          <w:rFonts w:ascii="Times New Roman" w:hAnsi="Times New Roman" w:cs="Times New Roman"/>
          <w:i/>
          <w:iCs/>
          <w:noProof/>
          <w:sz w:val="24"/>
          <w:szCs w:val="24"/>
        </w:rPr>
        <w:t>Compare identified model output with measured output</w:t>
      </w:r>
      <w:r w:rsidRPr="00015C81">
        <w:rPr>
          <w:rFonts w:ascii="Times New Roman" w:hAnsi="Times New Roman" w:cs="Times New Roman"/>
          <w:noProof/>
          <w:sz w:val="24"/>
          <w:szCs w:val="24"/>
        </w:rPr>
        <w:t>. Retrieved from https://www.mathworks.com/help/ident/ref/compare.html</w:t>
      </w:r>
    </w:p>
    <w:p w14:paraId="1E8DDA6A"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Menut, L., Bessagnet, B., Siour, G., Mailler, S., Pennel, R., &amp; Cholakian, A. (2020). Impact of lockdown measures to combat Covid-19 on air quality over western Europe. </w:t>
      </w:r>
      <w:r w:rsidRPr="00015C81">
        <w:rPr>
          <w:rFonts w:ascii="Times New Roman" w:hAnsi="Times New Roman" w:cs="Times New Roman"/>
          <w:i/>
          <w:iCs/>
          <w:noProof/>
          <w:sz w:val="24"/>
          <w:szCs w:val="24"/>
        </w:rPr>
        <w:t>Science of the Total Environment</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741</w:t>
      </w:r>
      <w:r w:rsidRPr="00015C81">
        <w:rPr>
          <w:rFonts w:ascii="Times New Roman" w:hAnsi="Times New Roman" w:cs="Times New Roman"/>
          <w:noProof/>
          <w:sz w:val="24"/>
          <w:szCs w:val="24"/>
        </w:rPr>
        <w:t>, 140426. https://doi.org/10.1016/j.scitotenv.2020.140426</w:t>
      </w:r>
    </w:p>
    <w:p w14:paraId="4300C6EF"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Mercado, L. M., Bellouin, N., Sitch, S., Boucher, O., Huntingford, C., Wild, M., &amp; Cox, P. M. (2009). Impact of changes in diffuse radiation on the global land carbon sink. </w:t>
      </w:r>
      <w:r w:rsidRPr="00015C81">
        <w:rPr>
          <w:rFonts w:ascii="Times New Roman" w:hAnsi="Times New Roman" w:cs="Times New Roman"/>
          <w:i/>
          <w:iCs/>
          <w:noProof/>
          <w:sz w:val="24"/>
          <w:szCs w:val="24"/>
        </w:rPr>
        <w:t>Nature</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458</w:t>
      </w:r>
      <w:r w:rsidRPr="00015C81">
        <w:rPr>
          <w:rFonts w:ascii="Times New Roman" w:hAnsi="Times New Roman" w:cs="Times New Roman"/>
          <w:noProof/>
          <w:sz w:val="24"/>
          <w:szCs w:val="24"/>
        </w:rPr>
        <w:t>(7241), 1014–1017. https://doi.org/10.1038/nature07949</w:t>
      </w:r>
    </w:p>
    <w:p w14:paraId="0FDCA208"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Nyeki, S., Eleftheriadis, K., Baltensperger, U., Colbeck, I., Fiebig, M., Fix, A., … Petzold, A. (2002). Airborne lidar and in-situ aerosol observations of an elevated layer, leeward of the european alps and apennines. </w:t>
      </w:r>
      <w:r w:rsidRPr="00015C81">
        <w:rPr>
          <w:rFonts w:ascii="Times New Roman" w:hAnsi="Times New Roman" w:cs="Times New Roman"/>
          <w:i/>
          <w:iCs/>
          <w:noProof/>
          <w:sz w:val="24"/>
          <w:szCs w:val="24"/>
        </w:rPr>
        <w:t>Geophysical Research Letters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29</w:t>
      </w:r>
      <w:r w:rsidRPr="00015C81">
        <w:rPr>
          <w:rFonts w:ascii="Times New Roman" w:hAnsi="Times New Roman" w:cs="Times New Roman"/>
          <w:noProof/>
          <w:sz w:val="24"/>
          <w:szCs w:val="24"/>
        </w:rPr>
        <w:t>(17), 3–6. https://doi.org/10.1029/2002GL014897</w:t>
      </w:r>
    </w:p>
    <w:p w14:paraId="1E40D344"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Ordóñez, C., Garrido-Perez, J. M., &amp; García-Herrera, R. (2020). Early spring near-surface ozone in Europe during the COVID-19 shutdown: Meteorological effects outweigh emission changes. </w:t>
      </w:r>
      <w:r w:rsidRPr="00015C81">
        <w:rPr>
          <w:rFonts w:ascii="Times New Roman" w:hAnsi="Times New Roman" w:cs="Times New Roman"/>
          <w:i/>
          <w:iCs/>
          <w:noProof/>
          <w:sz w:val="24"/>
          <w:szCs w:val="24"/>
        </w:rPr>
        <w:t>Science of the Total Environment</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747</w:t>
      </w:r>
      <w:r w:rsidRPr="00015C81">
        <w:rPr>
          <w:rFonts w:ascii="Times New Roman" w:hAnsi="Times New Roman" w:cs="Times New Roman"/>
          <w:noProof/>
          <w:sz w:val="24"/>
          <w:szCs w:val="24"/>
        </w:rPr>
        <w:t>(December 2019), 141322. https://doi.org/10.1016/j.scitotenv.2020.141322</w:t>
      </w:r>
    </w:p>
    <w:p w14:paraId="37F5A0AF"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lastRenderedPageBreak/>
        <w:t xml:space="preserve">Pastorello, G., Trotta, C., Canfora, E., Chu, H., Christianson, D., Cheah, Y. W., … Papale, D. (2020). The FLUXNET2015 dataset and the ONEFlux processing pipeline for eddy covariance data. </w:t>
      </w:r>
      <w:r w:rsidRPr="00015C81">
        <w:rPr>
          <w:rFonts w:ascii="Times New Roman" w:hAnsi="Times New Roman" w:cs="Times New Roman"/>
          <w:i/>
          <w:iCs/>
          <w:noProof/>
          <w:sz w:val="24"/>
          <w:szCs w:val="24"/>
        </w:rPr>
        <w:t>Scientific Data</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7</w:t>
      </w:r>
      <w:r w:rsidRPr="00015C81">
        <w:rPr>
          <w:rFonts w:ascii="Times New Roman" w:hAnsi="Times New Roman" w:cs="Times New Roman"/>
          <w:noProof/>
          <w:sz w:val="24"/>
          <w:szCs w:val="24"/>
        </w:rPr>
        <w:t>(1), 225. https://doi.org/10.1038/s41597-020-0534-3</w:t>
      </w:r>
    </w:p>
    <w:p w14:paraId="65223044"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Pell, E. J., Schlagnhaufer, C. D., &amp; Arteca, R. N. (1997). Ozone-induced oxidative stress: Mechanisms of action and reaction. </w:t>
      </w:r>
      <w:r w:rsidRPr="00015C81">
        <w:rPr>
          <w:rFonts w:ascii="Times New Roman" w:hAnsi="Times New Roman" w:cs="Times New Roman"/>
          <w:i/>
          <w:iCs/>
          <w:noProof/>
          <w:sz w:val="24"/>
          <w:szCs w:val="24"/>
        </w:rPr>
        <w:t>Physiologia Plantarum</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100</w:t>
      </w:r>
      <w:r w:rsidRPr="00015C81">
        <w:rPr>
          <w:rFonts w:ascii="Times New Roman" w:hAnsi="Times New Roman" w:cs="Times New Roman"/>
          <w:noProof/>
          <w:sz w:val="24"/>
          <w:szCs w:val="24"/>
        </w:rPr>
        <w:t>(2), 264–273. https://doi.org/10.1034/j.1399-3054.1997.1000207.x</w:t>
      </w:r>
    </w:p>
    <w:p w14:paraId="6BA2809C"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Pereira, J. S., Mateus, J. A., Aires, L. M., Pita, G., Pio, C., David, J. S., … Rodrigues, A. (2007). Net ecosystem carbon exchange in three contrasting Mediterranean ecosystems - The effect of drought. </w:t>
      </w:r>
      <w:r w:rsidRPr="00015C81">
        <w:rPr>
          <w:rFonts w:ascii="Times New Roman" w:hAnsi="Times New Roman" w:cs="Times New Roman"/>
          <w:i/>
          <w:iCs/>
          <w:noProof/>
          <w:sz w:val="24"/>
          <w:szCs w:val="24"/>
        </w:rPr>
        <w:t>Biogeosciences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4</w:t>
      </w:r>
      <w:r w:rsidRPr="00015C81">
        <w:rPr>
          <w:rFonts w:ascii="Times New Roman" w:hAnsi="Times New Roman" w:cs="Times New Roman"/>
          <w:noProof/>
          <w:sz w:val="24"/>
          <w:szCs w:val="24"/>
        </w:rPr>
        <w:t>(5), 791–802. https://doi.org/10.5194/bg-4-791-2007</w:t>
      </w:r>
    </w:p>
    <w:p w14:paraId="542CCDB1"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Philip, E. (2002). Effects of low concentrations of SO</w:t>
      </w:r>
      <w:r w:rsidRPr="004A335B">
        <w:rPr>
          <w:rFonts w:ascii="Times New Roman" w:hAnsi="Times New Roman" w:cs="Times New Roman"/>
          <w:noProof/>
          <w:sz w:val="24"/>
          <w:szCs w:val="24"/>
          <w:vertAlign w:val="subscript"/>
        </w:rPr>
        <w:t>2</w:t>
      </w:r>
      <w:r w:rsidRPr="00015C81">
        <w:rPr>
          <w:rFonts w:ascii="Times New Roman" w:hAnsi="Times New Roman" w:cs="Times New Roman"/>
          <w:noProof/>
          <w:sz w:val="24"/>
          <w:szCs w:val="24"/>
        </w:rPr>
        <w:t xml:space="preserve"> and NO</w:t>
      </w:r>
      <w:r w:rsidRPr="004A335B">
        <w:rPr>
          <w:rFonts w:ascii="Times New Roman" w:hAnsi="Times New Roman" w:cs="Times New Roman"/>
          <w:noProof/>
          <w:sz w:val="24"/>
          <w:szCs w:val="24"/>
          <w:vertAlign w:val="subscript"/>
        </w:rPr>
        <w:t>X</w:t>
      </w:r>
      <w:r w:rsidRPr="00015C81">
        <w:rPr>
          <w:rFonts w:ascii="Times New Roman" w:hAnsi="Times New Roman" w:cs="Times New Roman"/>
          <w:noProof/>
          <w:sz w:val="24"/>
          <w:szCs w:val="24"/>
        </w:rPr>
        <w:t xml:space="preserve"> on the photosynthetic characteristics of Pongamia pinnata. </w:t>
      </w:r>
      <w:r w:rsidRPr="00015C81">
        <w:rPr>
          <w:rFonts w:ascii="Times New Roman" w:hAnsi="Times New Roman" w:cs="Times New Roman"/>
          <w:i/>
          <w:iCs/>
          <w:noProof/>
          <w:sz w:val="24"/>
          <w:szCs w:val="24"/>
        </w:rPr>
        <w:t>Journal of Tropical Forest Science</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14</w:t>
      </w:r>
      <w:r w:rsidRPr="00015C81">
        <w:rPr>
          <w:rFonts w:ascii="Times New Roman" w:hAnsi="Times New Roman" w:cs="Times New Roman"/>
          <w:noProof/>
          <w:sz w:val="24"/>
          <w:szCs w:val="24"/>
        </w:rPr>
        <w:t xml:space="preserve">(4), 474–484. </w:t>
      </w:r>
    </w:p>
    <w:p w14:paraId="55DBE43A"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Putaud, J. P., Pozzoli, L., Pisoni, E., Martins Dos Santos, S., Lagler, F., Lanzani, G., … Colette, A. (2021). Impacts of the COVID-19 lockdown on air pollution at regional and urban background sites in northern Italy. </w:t>
      </w:r>
      <w:r w:rsidRPr="00015C81">
        <w:rPr>
          <w:rFonts w:ascii="Times New Roman" w:hAnsi="Times New Roman" w:cs="Times New Roman"/>
          <w:i/>
          <w:iCs/>
          <w:noProof/>
          <w:sz w:val="24"/>
          <w:szCs w:val="24"/>
        </w:rPr>
        <w:t>Atmospheric Chemistry and Physics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21</w:t>
      </w:r>
      <w:r w:rsidRPr="00015C81">
        <w:rPr>
          <w:rFonts w:ascii="Times New Roman" w:hAnsi="Times New Roman" w:cs="Times New Roman"/>
          <w:noProof/>
          <w:sz w:val="24"/>
          <w:szCs w:val="24"/>
        </w:rPr>
        <w:t>(10), 7597–7609. https://doi.org/10.5194/acp-21-7597-2021</w:t>
      </w:r>
    </w:p>
    <w:p w14:paraId="6FCF789B"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Qu, Z., Oumbe, A., Blanc, P., Espinar, B., Gesell, G., Gschwind, B., … Wald, L. (2017). Fast radiative transfer parameterisation for assessing the surface solar irradiance: The Heliosat-4 method. </w:t>
      </w:r>
      <w:r w:rsidRPr="00015C81">
        <w:rPr>
          <w:rFonts w:ascii="Times New Roman" w:hAnsi="Times New Roman" w:cs="Times New Roman"/>
          <w:i/>
          <w:iCs/>
          <w:noProof/>
          <w:sz w:val="24"/>
          <w:szCs w:val="24"/>
        </w:rPr>
        <w:t>Meteorologische Zeitschrift</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26</w:t>
      </w:r>
      <w:r w:rsidRPr="00015C81">
        <w:rPr>
          <w:rFonts w:ascii="Times New Roman" w:hAnsi="Times New Roman" w:cs="Times New Roman"/>
          <w:noProof/>
          <w:sz w:val="24"/>
          <w:szCs w:val="24"/>
        </w:rPr>
        <w:t>(1), 33–57. https://doi.org/10.1127/metz/2016/0781</w:t>
      </w:r>
    </w:p>
    <w:p w14:paraId="0552D5F6"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Reichstein, M., Stoy, P. C., Desai, A. R., Lasslop, G., &amp; Richardson, A. D. (2012). Partitioning of net fluxes. In M. Aubinet, T. Vesala, &amp; D. Papale (Eds.), </w:t>
      </w:r>
      <w:r w:rsidRPr="00015C81">
        <w:rPr>
          <w:rFonts w:ascii="Times New Roman" w:hAnsi="Times New Roman" w:cs="Times New Roman"/>
          <w:i/>
          <w:iCs/>
          <w:noProof/>
          <w:sz w:val="24"/>
          <w:szCs w:val="24"/>
        </w:rPr>
        <w:t>Eddy Covariance</w:t>
      </w:r>
      <w:r w:rsidRPr="00015C81">
        <w:rPr>
          <w:rFonts w:ascii="Times New Roman" w:hAnsi="Times New Roman" w:cs="Times New Roman"/>
          <w:noProof/>
          <w:sz w:val="24"/>
          <w:szCs w:val="24"/>
        </w:rPr>
        <w:t>. https://doi.org/https://doi.org/10.1007/978-94-007-2351-1_9</w:t>
      </w:r>
    </w:p>
    <w:p w14:paraId="55E6F763"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Roderick, M. L., Farquhar, G. D., Berry, S. L., &amp; Noble, I. R. (2001). On the direct effect of clouds and atmospheric particles on the productivity and structure of vegetation. </w:t>
      </w:r>
      <w:r w:rsidRPr="00015C81">
        <w:rPr>
          <w:rFonts w:ascii="Times New Roman" w:hAnsi="Times New Roman" w:cs="Times New Roman"/>
          <w:i/>
          <w:iCs/>
          <w:noProof/>
          <w:sz w:val="24"/>
          <w:szCs w:val="24"/>
        </w:rPr>
        <w:lastRenderedPageBreak/>
        <w:t>Oecologia</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129</w:t>
      </w:r>
      <w:r w:rsidRPr="00015C81">
        <w:rPr>
          <w:rFonts w:ascii="Times New Roman" w:hAnsi="Times New Roman" w:cs="Times New Roman"/>
          <w:noProof/>
          <w:sz w:val="24"/>
          <w:szCs w:val="24"/>
        </w:rPr>
        <w:t>(1), 21–30. https://doi.org/10.1007/s004420100760</w:t>
      </w:r>
    </w:p>
    <w:p w14:paraId="18AD7393"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Schuldt, B., Buras, A., Arend, M., Vitasse, Y., Beierkuhnlein, C., Damm, A., … Kahmen, A. (2020). A first assessment of the impact of the extreme 2018 summer drought on Central European forests. </w:t>
      </w:r>
      <w:r w:rsidRPr="00015C81">
        <w:rPr>
          <w:rFonts w:ascii="Times New Roman" w:hAnsi="Times New Roman" w:cs="Times New Roman"/>
          <w:i/>
          <w:iCs/>
          <w:noProof/>
          <w:sz w:val="24"/>
          <w:szCs w:val="24"/>
        </w:rPr>
        <w:t>Basic and Applied Ecology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45</w:t>
      </w:r>
      <w:r w:rsidRPr="00015C81">
        <w:rPr>
          <w:rFonts w:ascii="Times New Roman" w:hAnsi="Times New Roman" w:cs="Times New Roman"/>
          <w:noProof/>
          <w:sz w:val="24"/>
          <w:szCs w:val="24"/>
        </w:rPr>
        <w:t>, 86–103. https://doi.org/10.1016/j.baae.2020.04.003</w:t>
      </w:r>
    </w:p>
    <w:p w14:paraId="51378360"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Sciare, J., D’Argouges, O., Zhang, Q. J., Sarda-Estève, R., Gaimoz, C., Gros, V., … Sanchez, O. (2010). Comparison between simulated and observed chemical composition of fine aerosols in Paris (France) during springtime: Contribution of regional versus continental emissions. </w:t>
      </w:r>
      <w:r w:rsidRPr="00015C81">
        <w:rPr>
          <w:rFonts w:ascii="Times New Roman" w:hAnsi="Times New Roman" w:cs="Times New Roman"/>
          <w:i/>
          <w:iCs/>
          <w:noProof/>
          <w:sz w:val="24"/>
          <w:szCs w:val="24"/>
        </w:rPr>
        <w:t>Atmospheric Chemistry and Physics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10</w:t>
      </w:r>
      <w:r w:rsidRPr="00015C81">
        <w:rPr>
          <w:rFonts w:ascii="Times New Roman" w:hAnsi="Times New Roman" w:cs="Times New Roman"/>
          <w:noProof/>
          <w:sz w:val="24"/>
          <w:szCs w:val="24"/>
        </w:rPr>
        <w:t>(24), 11987–12004. https://doi.org/10.5194/acp-10-11987-2010</w:t>
      </w:r>
    </w:p>
    <w:p w14:paraId="59B7E3D3"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Tang, A. C. I., Stoy, P. C., Hirata, R., Musin, K. K., Aeries, E. B., Wenceslaus, J., &amp; Melling, L. (2018). Eddy Covariance Measurements of Methane Flux at a Tropical Peat Forest in Sarawak, Malaysian Borneo. </w:t>
      </w:r>
      <w:r w:rsidRPr="00015C81">
        <w:rPr>
          <w:rFonts w:ascii="Times New Roman" w:hAnsi="Times New Roman" w:cs="Times New Roman"/>
          <w:i/>
          <w:iCs/>
          <w:noProof/>
          <w:sz w:val="24"/>
          <w:szCs w:val="24"/>
        </w:rPr>
        <w:t>Geophysical Research Letters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45</w:t>
      </w:r>
      <w:r w:rsidRPr="00015C81">
        <w:rPr>
          <w:rFonts w:ascii="Times New Roman" w:hAnsi="Times New Roman" w:cs="Times New Roman"/>
          <w:noProof/>
          <w:sz w:val="24"/>
          <w:szCs w:val="24"/>
        </w:rPr>
        <w:t>(9), 4390–4399. https://doi.org/10.1029/2017GL076457</w:t>
      </w:r>
    </w:p>
    <w:p w14:paraId="7EABE958"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Turnock, S. T., Butt, E. W., Richardson, T. B., Mann, G. W., Reddington, C. L., Forster, P. M., … Spracklen, D. V. (2016). The impact of European legislative and technology measures to reduce air pollutants on air quality, human health and climate. </w:t>
      </w:r>
      <w:r w:rsidRPr="00015C81">
        <w:rPr>
          <w:rFonts w:ascii="Times New Roman" w:hAnsi="Times New Roman" w:cs="Times New Roman"/>
          <w:i/>
          <w:iCs/>
          <w:noProof/>
          <w:sz w:val="24"/>
          <w:szCs w:val="24"/>
        </w:rPr>
        <w:t>Environmental Research Letters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11</w:t>
      </w:r>
      <w:r w:rsidRPr="00015C81">
        <w:rPr>
          <w:rFonts w:ascii="Times New Roman" w:hAnsi="Times New Roman" w:cs="Times New Roman"/>
          <w:noProof/>
          <w:sz w:val="24"/>
          <w:szCs w:val="24"/>
        </w:rPr>
        <w:t>(2). https://doi.org/10.1088/1748-9326/11/2/024010</w:t>
      </w:r>
    </w:p>
    <w:p w14:paraId="2423D10D"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van Heerwaarden, C. C., Mol, W. B., Veerman, M. A., Benedict, I., Heusinkveld, B. G., Knap, W. H., … Fiedler, S. (2021). Record high solar irradiance in Western Europe during first COVID-19 lockdown largely due to unusual weather. </w:t>
      </w:r>
      <w:r w:rsidRPr="00015C81">
        <w:rPr>
          <w:rFonts w:ascii="Times New Roman" w:hAnsi="Times New Roman" w:cs="Times New Roman"/>
          <w:i/>
          <w:iCs/>
          <w:noProof/>
          <w:sz w:val="24"/>
          <w:szCs w:val="24"/>
        </w:rPr>
        <w:t>Communications Earth &amp; Environment</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w:t>
      </w:r>
      <w:r w:rsidRPr="00015C81">
        <w:rPr>
          <w:rFonts w:ascii="Times New Roman" w:hAnsi="Times New Roman" w:cs="Times New Roman"/>
          <w:noProof/>
          <w:sz w:val="24"/>
          <w:szCs w:val="24"/>
        </w:rPr>
        <w:t>(1), 1–7. https://doi.org/10.1038/s43247-021-00110-0</w:t>
      </w:r>
    </w:p>
    <w:p w14:paraId="0D17B1C6"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Venter, Z. S., Aunan, K., Chowdhury, S., &amp; Lelieveld, J. (2020). COVID-19 lockdowns cause global air pollution declines. </w:t>
      </w:r>
      <w:r w:rsidRPr="00015C81">
        <w:rPr>
          <w:rFonts w:ascii="Times New Roman" w:hAnsi="Times New Roman" w:cs="Times New Roman"/>
          <w:i/>
          <w:iCs/>
          <w:noProof/>
          <w:sz w:val="24"/>
          <w:szCs w:val="24"/>
        </w:rPr>
        <w:t>Proceedings of the National Academy of Sciences of the United States of America</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117</w:t>
      </w:r>
      <w:r w:rsidRPr="00015C81">
        <w:rPr>
          <w:rFonts w:ascii="Times New Roman" w:hAnsi="Times New Roman" w:cs="Times New Roman"/>
          <w:noProof/>
          <w:sz w:val="24"/>
          <w:szCs w:val="24"/>
        </w:rPr>
        <w:t xml:space="preserve">(32), 18984–18990. </w:t>
      </w:r>
      <w:r w:rsidRPr="00015C81">
        <w:rPr>
          <w:rFonts w:ascii="Times New Roman" w:hAnsi="Times New Roman" w:cs="Times New Roman"/>
          <w:noProof/>
          <w:sz w:val="24"/>
          <w:szCs w:val="24"/>
        </w:rPr>
        <w:lastRenderedPageBreak/>
        <w:t>https://doi.org/10.1073/pnas.2006853117</w:t>
      </w:r>
    </w:p>
    <w:p w14:paraId="610BA86F"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Viatte, C., Petit, J. E., Yamanouchi, S., Van Damme, M., Doucerain, C., Germain-Piaulenne, E., … Clerbaux, C. (2021). Ammonia and pm2.5 air pollution in paris during the 2020 covid lockdown. </w:t>
      </w:r>
      <w:r w:rsidRPr="00015C81">
        <w:rPr>
          <w:rFonts w:ascii="Times New Roman" w:hAnsi="Times New Roman" w:cs="Times New Roman"/>
          <w:i/>
          <w:iCs/>
          <w:noProof/>
          <w:sz w:val="24"/>
          <w:szCs w:val="24"/>
        </w:rPr>
        <w:t>Atmosphere</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12</w:t>
      </w:r>
      <w:r w:rsidRPr="00015C81">
        <w:rPr>
          <w:rFonts w:ascii="Times New Roman" w:hAnsi="Times New Roman" w:cs="Times New Roman"/>
          <w:noProof/>
          <w:sz w:val="24"/>
          <w:szCs w:val="24"/>
        </w:rPr>
        <w:t>(2), 1–18. https://doi.org/10.3390/atmos12020160</w:t>
      </w:r>
    </w:p>
    <w:p w14:paraId="17498A4F"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Voigt, C., Lelieveld, J., Schlager, H., Schneider, J., Curtius, J., Meerkötter, R., … Rapp, M. (2022). Cleaner Skies during the COVID-19 Lockdown. </w:t>
      </w:r>
      <w:r w:rsidRPr="00015C81">
        <w:rPr>
          <w:rFonts w:ascii="Times New Roman" w:hAnsi="Times New Roman" w:cs="Times New Roman"/>
          <w:i/>
          <w:iCs/>
          <w:noProof/>
          <w:sz w:val="24"/>
          <w:szCs w:val="24"/>
        </w:rPr>
        <w:t>Bulletin of the American Meteorological Society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103</w:t>
      </w:r>
      <w:r w:rsidRPr="00015C81">
        <w:rPr>
          <w:rFonts w:ascii="Times New Roman" w:hAnsi="Times New Roman" w:cs="Times New Roman"/>
          <w:noProof/>
          <w:sz w:val="24"/>
          <w:szCs w:val="24"/>
        </w:rPr>
        <w:t>(8), E1796–E1827. https://doi.org/10.1175/BAMS-D-21-0012.1</w:t>
      </w:r>
    </w:p>
    <w:p w14:paraId="7B4BC652"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Wang, X., Wu, J., Chen, M., Xu, X., Wang, Z., Wang, B., … Liu, L. (2018). Field evidences for the positive effects of aerosols on tree growth. </w:t>
      </w:r>
      <w:r w:rsidRPr="00015C81">
        <w:rPr>
          <w:rFonts w:ascii="Times New Roman" w:hAnsi="Times New Roman" w:cs="Times New Roman"/>
          <w:i/>
          <w:iCs/>
          <w:noProof/>
          <w:sz w:val="24"/>
          <w:szCs w:val="24"/>
        </w:rPr>
        <w:t>Global Change Biology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24</w:t>
      </w:r>
      <w:r w:rsidRPr="00015C81">
        <w:rPr>
          <w:rFonts w:ascii="Times New Roman" w:hAnsi="Times New Roman" w:cs="Times New Roman"/>
          <w:noProof/>
          <w:sz w:val="24"/>
          <w:szCs w:val="24"/>
        </w:rPr>
        <w:t>(10), 4983–4992. https://doi.org/10.1111/gcb.14339</w:t>
      </w:r>
    </w:p>
    <w:p w14:paraId="25043EE3"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Warm Winter 2020 Team &amp; ICOS Ecosystem Thematic Centre. (2022). Warm Winter 2020 ecosystem eddy covariance flux product for 73 stations in FLUXNET-Archive format—release 2022-1 (Version 1.0). Retrieved from ICOS Carbon Portal website: https://doi.org/10.18160/2G60-ZHAK</w:t>
      </w:r>
    </w:p>
    <w:p w14:paraId="2EED5120"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Wittig, V. E., Ainsworth, E. A., Naidu, S. L., Karnosky, D. F., &amp; Long, S. P. (2009). Quantifying the impact of current and future tropospheric ozone on tree biomass, growth, physiology and biochemistry: A quantitative meta-analysis. </w:t>
      </w:r>
      <w:r w:rsidRPr="00015C81">
        <w:rPr>
          <w:rFonts w:ascii="Times New Roman" w:hAnsi="Times New Roman" w:cs="Times New Roman"/>
          <w:i/>
          <w:iCs/>
          <w:noProof/>
          <w:sz w:val="24"/>
          <w:szCs w:val="24"/>
        </w:rPr>
        <w:t>Global Change Biology</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15</w:t>
      </w:r>
      <w:r w:rsidRPr="00015C81">
        <w:rPr>
          <w:rFonts w:ascii="Times New Roman" w:hAnsi="Times New Roman" w:cs="Times New Roman"/>
          <w:noProof/>
          <w:sz w:val="24"/>
          <w:szCs w:val="24"/>
        </w:rPr>
        <w:t>(2), 396–424. https://doi.org/10.1111/j.1365-2486.2008.01774.x</w:t>
      </w:r>
    </w:p>
    <w:p w14:paraId="614DF71D"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Wong, S. C., Cowan, I. R., &amp; Farquhar, G. D. (1979). Stomatal conductance correlates with photosynthetic capacity. </w:t>
      </w:r>
      <w:r w:rsidRPr="00015C81">
        <w:rPr>
          <w:rFonts w:ascii="Times New Roman" w:hAnsi="Times New Roman" w:cs="Times New Roman"/>
          <w:i/>
          <w:iCs/>
          <w:noProof/>
          <w:sz w:val="24"/>
          <w:szCs w:val="24"/>
        </w:rPr>
        <w:t>Nature</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282</w:t>
      </w:r>
      <w:r w:rsidRPr="00015C81">
        <w:rPr>
          <w:rFonts w:ascii="Times New Roman" w:hAnsi="Times New Roman" w:cs="Times New Roman"/>
          <w:noProof/>
          <w:sz w:val="24"/>
          <w:szCs w:val="24"/>
        </w:rPr>
        <w:t>(5737), 424–426. https://doi.org/10.1038/282424a0</w:t>
      </w:r>
    </w:p>
    <w:p w14:paraId="070E001C"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World Health Organisation. (2020). WHO Director-General’s opening remarks at the media briefing on COVID-19 - 13 March 2020. Retrieved from https://www.who.int/director-general/speeches/detail/who-director-general-s-opening-remarks-at-the-mission-briefing-on-covid-19---13-march-2020</w:t>
      </w:r>
    </w:p>
    <w:p w14:paraId="3F26ED37"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lastRenderedPageBreak/>
        <w:t xml:space="preserve">Xie, J., Kneubühler, M., Garonna, I., Notarnicola, C., De Gregorio, L., De Jong, R., … Schaepman, M. E. (2017). Altitude-dependent influence of snow cover on alpine land surface phenology. </w:t>
      </w:r>
      <w:r w:rsidRPr="00015C81">
        <w:rPr>
          <w:rFonts w:ascii="Times New Roman" w:hAnsi="Times New Roman" w:cs="Times New Roman"/>
          <w:i/>
          <w:iCs/>
          <w:noProof/>
          <w:sz w:val="24"/>
          <w:szCs w:val="24"/>
        </w:rPr>
        <w:t>Journal of Geophysical Research: Biogeosciences</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122</w:t>
      </w:r>
      <w:r w:rsidRPr="00015C81">
        <w:rPr>
          <w:rFonts w:ascii="Times New Roman" w:hAnsi="Times New Roman" w:cs="Times New Roman"/>
          <w:noProof/>
          <w:sz w:val="24"/>
          <w:szCs w:val="24"/>
        </w:rPr>
        <w:t>(5), 1107–1122. https://doi.org/10.1002/2016JG003728</w:t>
      </w:r>
    </w:p>
    <w:p w14:paraId="536735EA"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015C81">
        <w:rPr>
          <w:rFonts w:ascii="Times New Roman" w:hAnsi="Times New Roman" w:cs="Times New Roman"/>
          <w:noProof/>
          <w:sz w:val="24"/>
          <w:szCs w:val="24"/>
        </w:rPr>
        <w:t xml:space="preserve">Yu, X., Orth, R., Reichstein, M., Bahn, M., Klosterhalfen, A., Knohl, A., &amp; Koebsch, F. (2022). </w:t>
      </w:r>
      <w:r w:rsidRPr="00015C81">
        <w:rPr>
          <w:rFonts w:ascii="Times New Roman" w:hAnsi="Times New Roman" w:cs="Times New Roman"/>
          <w:i/>
          <w:iCs/>
          <w:noProof/>
          <w:sz w:val="24"/>
          <w:szCs w:val="24"/>
        </w:rPr>
        <w:t>Contrasting drought legacy effects on gross primary productivity in a mixed versus pure beech forest</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19</w:t>
      </w:r>
      <w:r w:rsidRPr="00015C81">
        <w:rPr>
          <w:rFonts w:ascii="Times New Roman" w:hAnsi="Times New Roman" w:cs="Times New Roman"/>
          <w:noProof/>
          <w:sz w:val="24"/>
          <w:szCs w:val="24"/>
        </w:rPr>
        <w:t>, 4315–4329.</w:t>
      </w:r>
    </w:p>
    <w:p w14:paraId="398C312B" w14:textId="77777777" w:rsidR="00103AF5" w:rsidRPr="00015C81" w:rsidRDefault="00103AF5" w:rsidP="00103AF5">
      <w:pPr>
        <w:widowControl w:val="0"/>
        <w:autoSpaceDE w:val="0"/>
        <w:autoSpaceDN w:val="0"/>
        <w:adjustRightInd w:val="0"/>
        <w:spacing w:after="0" w:line="480" w:lineRule="auto"/>
        <w:ind w:left="480" w:hanging="480"/>
        <w:rPr>
          <w:rFonts w:ascii="Times New Roman" w:hAnsi="Times New Roman" w:cs="Times New Roman"/>
          <w:noProof/>
          <w:sz w:val="24"/>
        </w:rPr>
      </w:pPr>
      <w:r w:rsidRPr="00015C81">
        <w:rPr>
          <w:rFonts w:ascii="Times New Roman" w:hAnsi="Times New Roman" w:cs="Times New Roman"/>
          <w:noProof/>
          <w:sz w:val="24"/>
          <w:szCs w:val="24"/>
        </w:rPr>
        <w:t xml:space="preserve">Zhao, M., &amp; Running, S. W. (2010). Drought-induced reduction in global terrestrial net primary production from 2000 through 2009. </w:t>
      </w:r>
      <w:r w:rsidRPr="00015C81">
        <w:rPr>
          <w:rFonts w:ascii="Times New Roman" w:hAnsi="Times New Roman" w:cs="Times New Roman"/>
          <w:i/>
          <w:iCs/>
          <w:noProof/>
          <w:sz w:val="24"/>
          <w:szCs w:val="24"/>
        </w:rPr>
        <w:t>Science</w:t>
      </w:r>
      <w:r w:rsidRPr="00015C81">
        <w:rPr>
          <w:rFonts w:ascii="Times New Roman" w:hAnsi="Times New Roman" w:cs="Times New Roman"/>
          <w:noProof/>
          <w:sz w:val="24"/>
          <w:szCs w:val="24"/>
        </w:rPr>
        <w:t xml:space="preserve">, </w:t>
      </w:r>
      <w:r w:rsidRPr="00015C81">
        <w:rPr>
          <w:rFonts w:ascii="Times New Roman" w:hAnsi="Times New Roman" w:cs="Times New Roman"/>
          <w:i/>
          <w:iCs/>
          <w:noProof/>
          <w:sz w:val="24"/>
          <w:szCs w:val="24"/>
        </w:rPr>
        <w:t>329</w:t>
      </w:r>
      <w:r w:rsidRPr="00015C81">
        <w:rPr>
          <w:rFonts w:ascii="Times New Roman" w:hAnsi="Times New Roman" w:cs="Times New Roman"/>
          <w:noProof/>
          <w:sz w:val="24"/>
          <w:szCs w:val="24"/>
        </w:rPr>
        <w:t>(5994), 940–943. https://doi.org/10.1126/science.334.6062.1496</w:t>
      </w:r>
    </w:p>
    <w:p w14:paraId="52470C52"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r>
        <w:rPr>
          <w:rFonts w:ascii="Times New Roman" w:hAnsi="Times New Roman" w:cs="Times New Roman"/>
          <w:b/>
          <w:sz w:val="24"/>
          <w:szCs w:val="24"/>
          <w:lang w:val="en-MY"/>
        </w:rPr>
        <w:fldChar w:fldCharType="end"/>
      </w:r>
    </w:p>
    <w:p w14:paraId="0AB08D7E"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3230DD3C"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17A4250F"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0F2E7742"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04A1EB68"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52D0B2BF"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2B662B8B"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09A14B64"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0BD5F148"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2996023E"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7AE0C901"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1C8C2C51" w14:textId="77777777" w:rsidR="00103AF5" w:rsidRDefault="00103AF5" w:rsidP="00103AF5">
      <w:pPr>
        <w:widowControl w:val="0"/>
        <w:autoSpaceDE w:val="0"/>
        <w:autoSpaceDN w:val="0"/>
        <w:adjustRightInd w:val="0"/>
        <w:spacing w:after="0" w:line="480" w:lineRule="auto"/>
        <w:ind w:left="640" w:hanging="640"/>
        <w:rPr>
          <w:rFonts w:ascii="Times New Roman" w:hAnsi="Times New Roman" w:cs="Times New Roman"/>
          <w:sz w:val="24"/>
          <w:szCs w:val="24"/>
        </w:rPr>
      </w:pPr>
    </w:p>
    <w:p w14:paraId="488CEA21" w14:textId="77777777" w:rsidR="00103AF5" w:rsidRPr="00560BF9" w:rsidRDefault="00103AF5" w:rsidP="00103AF5">
      <w:pPr>
        <w:snapToGrid w:val="0"/>
        <w:spacing w:after="0" w:line="480" w:lineRule="auto"/>
        <w:rPr>
          <w:rFonts w:ascii="Times New Roman" w:hAnsi="Times New Roman" w:cs="Times New Roman"/>
          <w:sz w:val="24"/>
          <w:szCs w:val="24"/>
        </w:rPr>
      </w:pPr>
    </w:p>
    <w:p w14:paraId="60FED17F" w14:textId="77777777" w:rsidR="00103AF5" w:rsidRDefault="00103AF5" w:rsidP="00103AF5"/>
    <w:p w14:paraId="100E9B41" w14:textId="77777777" w:rsidR="002F5DE2" w:rsidRDefault="002F5DE2"/>
    <w:sectPr w:rsidR="002F5DE2" w:rsidSect="00A348F8">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D738B" w14:textId="77777777" w:rsidR="0051317B" w:rsidRDefault="0051317B" w:rsidP="00014F4C">
      <w:pPr>
        <w:spacing w:after="0" w:line="240" w:lineRule="auto"/>
      </w:pPr>
      <w:r>
        <w:separator/>
      </w:r>
    </w:p>
  </w:endnote>
  <w:endnote w:type="continuationSeparator" w:id="0">
    <w:p w14:paraId="285D15BB" w14:textId="77777777" w:rsidR="0051317B" w:rsidRDefault="0051317B" w:rsidP="00014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dvOT863180fb">
    <w:panose1 w:val="00000000000000000000"/>
    <w:charset w:val="00"/>
    <w:family w:val="roman"/>
    <w:notTrueType/>
    <w:pitch w:val="default"/>
  </w:font>
  <w:font w:name="AdvPS3FDD77">
    <w:panose1 w:val="00000000000000000000"/>
    <w:charset w:val="00"/>
    <w:family w:val="roman"/>
    <w:notTrueType/>
    <w:pitch w:val="default"/>
  </w:font>
  <w:font w:name="AdvP4C4E74">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E59B9" w14:textId="77777777" w:rsidR="0051317B" w:rsidRDefault="0051317B" w:rsidP="00014F4C">
      <w:pPr>
        <w:spacing w:after="0" w:line="240" w:lineRule="auto"/>
      </w:pPr>
      <w:r>
        <w:separator/>
      </w:r>
    </w:p>
  </w:footnote>
  <w:footnote w:type="continuationSeparator" w:id="0">
    <w:p w14:paraId="57A1D455" w14:textId="77777777" w:rsidR="0051317B" w:rsidRDefault="0051317B" w:rsidP="00014F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F5ACA"/>
    <w:multiLevelType w:val="multilevel"/>
    <w:tmpl w:val="68CA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41578E"/>
    <w:multiLevelType w:val="hybridMultilevel"/>
    <w:tmpl w:val="55D8D898"/>
    <w:lvl w:ilvl="0" w:tplc="4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656A9B"/>
    <w:multiLevelType w:val="hybridMultilevel"/>
    <w:tmpl w:val="3978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6177B"/>
    <w:multiLevelType w:val="multilevel"/>
    <w:tmpl w:val="F27AC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BD1C2C"/>
    <w:multiLevelType w:val="hybridMultilevel"/>
    <w:tmpl w:val="786C2E48"/>
    <w:lvl w:ilvl="0" w:tplc="6C766E92">
      <w:start w:val="2"/>
      <w:numFmt w:val="bullet"/>
      <w:lvlText w:val=""/>
      <w:lvlJc w:val="left"/>
      <w:pPr>
        <w:ind w:left="1950" w:hanging="360"/>
      </w:pPr>
      <w:rPr>
        <w:rFonts w:ascii="Symbol" w:eastAsiaTheme="minorEastAsia" w:hAnsi="Symbol" w:cstheme="minorBidi" w:hint="default"/>
        <w:sz w:val="28"/>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5" w15:restartNumberingAfterBreak="0">
    <w:nsid w:val="378D6559"/>
    <w:multiLevelType w:val="hybridMultilevel"/>
    <w:tmpl w:val="B09CCF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7622B9F"/>
    <w:multiLevelType w:val="hybridMultilevel"/>
    <w:tmpl w:val="B6BA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86F2C"/>
    <w:multiLevelType w:val="multilevel"/>
    <w:tmpl w:val="AF18B5AC"/>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4557C31"/>
    <w:multiLevelType w:val="hybridMultilevel"/>
    <w:tmpl w:val="7A7A0E9C"/>
    <w:lvl w:ilvl="0" w:tplc="4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DFB7C61"/>
    <w:multiLevelType w:val="multilevel"/>
    <w:tmpl w:val="EE50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9A7183"/>
    <w:multiLevelType w:val="hybridMultilevel"/>
    <w:tmpl w:val="ECBA461C"/>
    <w:lvl w:ilvl="0" w:tplc="77381214">
      <w:start w:val="197"/>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EA37C0"/>
    <w:multiLevelType w:val="hybridMultilevel"/>
    <w:tmpl w:val="D8A85050"/>
    <w:lvl w:ilvl="0" w:tplc="B824CD62">
      <w:start w:val="2"/>
      <w:numFmt w:val="bullet"/>
      <w:lvlText w:val=""/>
      <w:lvlJc w:val="left"/>
      <w:pPr>
        <w:ind w:left="1950" w:hanging="360"/>
      </w:pPr>
      <w:rPr>
        <w:rFonts w:ascii="Symbol" w:eastAsiaTheme="minorEastAsia" w:hAnsi="Symbol" w:cstheme="minorBidi"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num w:numId="1" w16cid:durableId="1900938389">
    <w:abstractNumId w:val="6"/>
  </w:num>
  <w:num w:numId="2" w16cid:durableId="174923413">
    <w:abstractNumId w:val="2"/>
  </w:num>
  <w:num w:numId="3" w16cid:durableId="1751460473">
    <w:abstractNumId w:val="10"/>
  </w:num>
  <w:num w:numId="4" w16cid:durableId="652148882">
    <w:abstractNumId w:val="5"/>
  </w:num>
  <w:num w:numId="5" w16cid:durableId="467360508">
    <w:abstractNumId w:val="7"/>
  </w:num>
  <w:num w:numId="6" w16cid:durableId="1023242553">
    <w:abstractNumId w:val="4"/>
  </w:num>
  <w:num w:numId="7" w16cid:durableId="1986231561">
    <w:abstractNumId w:val="11"/>
  </w:num>
  <w:num w:numId="8" w16cid:durableId="149030319">
    <w:abstractNumId w:val="1"/>
  </w:num>
  <w:num w:numId="9" w16cid:durableId="901403595">
    <w:abstractNumId w:val="8"/>
  </w:num>
  <w:num w:numId="10" w16cid:durableId="1313825345">
    <w:abstractNumId w:val="9"/>
  </w:num>
  <w:num w:numId="11" w16cid:durableId="797142091">
    <w:abstractNumId w:val="3"/>
  </w:num>
  <w:num w:numId="12" w16cid:durableId="900209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AF5"/>
    <w:rsid w:val="00014F4C"/>
    <w:rsid w:val="00103AF5"/>
    <w:rsid w:val="002F5DE2"/>
    <w:rsid w:val="0051317B"/>
    <w:rsid w:val="00571366"/>
    <w:rsid w:val="00E00A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C8288"/>
  <w15:chartTrackingRefBased/>
  <w15:docId w15:val="{31C8F78D-9ED4-42A1-A3B8-B630AA0CE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A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03AF5"/>
  </w:style>
  <w:style w:type="character" w:styleId="PlaceholderText">
    <w:name w:val="Placeholder Text"/>
    <w:basedOn w:val="DefaultParagraphFont"/>
    <w:uiPriority w:val="99"/>
    <w:semiHidden/>
    <w:rsid w:val="00103AF5"/>
    <w:rPr>
      <w:color w:val="808080"/>
    </w:rPr>
  </w:style>
  <w:style w:type="paragraph" w:styleId="HTMLPreformatted">
    <w:name w:val="HTML Preformatted"/>
    <w:basedOn w:val="Normal"/>
    <w:link w:val="HTMLPreformattedChar"/>
    <w:uiPriority w:val="99"/>
    <w:semiHidden/>
    <w:unhideWhenUsed/>
    <w:rsid w:val="00103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3AF5"/>
    <w:rPr>
      <w:rFonts w:ascii="Courier New" w:eastAsia="Times New Roman" w:hAnsi="Courier New" w:cs="Courier New"/>
      <w:sz w:val="20"/>
      <w:szCs w:val="20"/>
    </w:rPr>
  </w:style>
  <w:style w:type="character" w:styleId="Hyperlink">
    <w:name w:val="Hyperlink"/>
    <w:basedOn w:val="DefaultParagraphFont"/>
    <w:uiPriority w:val="99"/>
    <w:unhideWhenUsed/>
    <w:rsid w:val="00103AF5"/>
    <w:rPr>
      <w:color w:val="0000FF"/>
      <w:u w:val="single"/>
    </w:rPr>
  </w:style>
  <w:style w:type="character" w:customStyle="1" w:styleId="fontstyle01">
    <w:name w:val="fontstyle01"/>
    <w:basedOn w:val="DefaultParagraphFont"/>
    <w:rsid w:val="00103AF5"/>
    <w:rPr>
      <w:rFonts w:ascii="AdvOT863180fb" w:hAnsi="AdvOT863180fb" w:hint="default"/>
      <w:b w:val="0"/>
      <w:bCs w:val="0"/>
      <w:i w:val="0"/>
      <w:iCs w:val="0"/>
      <w:color w:val="000000"/>
      <w:sz w:val="14"/>
      <w:szCs w:val="14"/>
    </w:rPr>
  </w:style>
  <w:style w:type="character" w:customStyle="1" w:styleId="fontstyle21">
    <w:name w:val="fontstyle21"/>
    <w:basedOn w:val="DefaultParagraphFont"/>
    <w:rsid w:val="00103AF5"/>
    <w:rPr>
      <w:rFonts w:ascii="AdvPS3FDD77" w:hAnsi="AdvPS3FDD77" w:hint="default"/>
      <w:b w:val="0"/>
      <w:bCs w:val="0"/>
      <w:i w:val="0"/>
      <w:iCs w:val="0"/>
      <w:color w:val="000000"/>
      <w:sz w:val="14"/>
      <w:szCs w:val="14"/>
    </w:rPr>
  </w:style>
  <w:style w:type="character" w:customStyle="1" w:styleId="fontstyle31">
    <w:name w:val="fontstyle31"/>
    <w:basedOn w:val="DefaultParagraphFont"/>
    <w:rsid w:val="00103AF5"/>
    <w:rPr>
      <w:rFonts w:ascii="AdvP4C4E74" w:hAnsi="AdvP4C4E74" w:hint="default"/>
      <w:b w:val="0"/>
      <w:bCs w:val="0"/>
      <w:i w:val="0"/>
      <w:iCs w:val="0"/>
      <w:color w:val="000000"/>
      <w:sz w:val="14"/>
      <w:szCs w:val="14"/>
    </w:rPr>
  </w:style>
  <w:style w:type="paragraph" w:styleId="Header">
    <w:name w:val="header"/>
    <w:basedOn w:val="Normal"/>
    <w:link w:val="HeaderChar"/>
    <w:uiPriority w:val="99"/>
    <w:unhideWhenUsed/>
    <w:rsid w:val="00103A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AF5"/>
  </w:style>
  <w:style w:type="paragraph" w:styleId="Footer">
    <w:name w:val="footer"/>
    <w:basedOn w:val="Normal"/>
    <w:link w:val="FooterChar"/>
    <w:uiPriority w:val="99"/>
    <w:unhideWhenUsed/>
    <w:rsid w:val="00103A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AF5"/>
  </w:style>
  <w:style w:type="paragraph" w:styleId="NormalWeb">
    <w:name w:val="Normal (Web)"/>
    <w:basedOn w:val="Normal"/>
    <w:uiPriority w:val="99"/>
    <w:unhideWhenUsed/>
    <w:rsid w:val="00103AF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03A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AF5"/>
    <w:pPr>
      <w:ind w:left="720"/>
      <w:contextualSpacing/>
    </w:pPr>
  </w:style>
  <w:style w:type="character" w:styleId="CommentReference">
    <w:name w:val="annotation reference"/>
    <w:basedOn w:val="DefaultParagraphFont"/>
    <w:uiPriority w:val="99"/>
    <w:semiHidden/>
    <w:unhideWhenUsed/>
    <w:rsid w:val="00103AF5"/>
    <w:rPr>
      <w:sz w:val="16"/>
      <w:szCs w:val="16"/>
    </w:rPr>
  </w:style>
  <w:style w:type="paragraph" w:styleId="CommentText">
    <w:name w:val="annotation text"/>
    <w:basedOn w:val="Normal"/>
    <w:link w:val="CommentTextChar"/>
    <w:uiPriority w:val="99"/>
    <w:unhideWhenUsed/>
    <w:rsid w:val="00103AF5"/>
    <w:pPr>
      <w:spacing w:line="240" w:lineRule="auto"/>
    </w:pPr>
    <w:rPr>
      <w:sz w:val="20"/>
      <w:szCs w:val="20"/>
    </w:rPr>
  </w:style>
  <w:style w:type="character" w:customStyle="1" w:styleId="CommentTextChar">
    <w:name w:val="Comment Text Char"/>
    <w:basedOn w:val="DefaultParagraphFont"/>
    <w:link w:val="CommentText"/>
    <w:uiPriority w:val="99"/>
    <w:rsid w:val="00103AF5"/>
    <w:rPr>
      <w:sz w:val="20"/>
      <w:szCs w:val="20"/>
    </w:rPr>
  </w:style>
  <w:style w:type="paragraph" w:styleId="CommentSubject">
    <w:name w:val="annotation subject"/>
    <w:basedOn w:val="CommentText"/>
    <w:next w:val="CommentText"/>
    <w:link w:val="CommentSubjectChar"/>
    <w:uiPriority w:val="99"/>
    <w:semiHidden/>
    <w:unhideWhenUsed/>
    <w:rsid w:val="00103AF5"/>
    <w:rPr>
      <w:b/>
      <w:bCs/>
    </w:rPr>
  </w:style>
  <w:style w:type="character" w:customStyle="1" w:styleId="CommentSubjectChar">
    <w:name w:val="Comment Subject Char"/>
    <w:basedOn w:val="CommentTextChar"/>
    <w:link w:val="CommentSubject"/>
    <w:uiPriority w:val="99"/>
    <w:semiHidden/>
    <w:rsid w:val="00103AF5"/>
    <w:rPr>
      <w:b/>
      <w:bCs/>
      <w:sz w:val="20"/>
      <w:szCs w:val="20"/>
    </w:rPr>
  </w:style>
  <w:style w:type="paragraph" w:styleId="BalloonText">
    <w:name w:val="Balloon Text"/>
    <w:basedOn w:val="Normal"/>
    <w:link w:val="BalloonTextChar"/>
    <w:uiPriority w:val="99"/>
    <w:semiHidden/>
    <w:unhideWhenUsed/>
    <w:rsid w:val="00103A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AF5"/>
    <w:rPr>
      <w:rFonts w:ascii="Segoe UI" w:hAnsi="Segoe UI" w:cs="Segoe UI"/>
      <w:sz w:val="18"/>
      <w:szCs w:val="18"/>
    </w:rPr>
  </w:style>
  <w:style w:type="paragraph" w:styleId="Revision">
    <w:name w:val="Revision"/>
    <w:hidden/>
    <w:uiPriority w:val="99"/>
    <w:semiHidden/>
    <w:rsid w:val="00103AF5"/>
    <w:pPr>
      <w:spacing w:after="0" w:line="240" w:lineRule="auto"/>
    </w:pPr>
  </w:style>
  <w:style w:type="character" w:styleId="FollowedHyperlink">
    <w:name w:val="FollowedHyperlink"/>
    <w:basedOn w:val="DefaultParagraphFont"/>
    <w:uiPriority w:val="99"/>
    <w:semiHidden/>
    <w:unhideWhenUsed/>
    <w:rsid w:val="00103AF5"/>
    <w:rPr>
      <w:color w:val="954F72"/>
      <w:u w:val="single"/>
    </w:rPr>
  </w:style>
  <w:style w:type="paragraph" w:customStyle="1" w:styleId="msonormal0">
    <w:name w:val="msonormal"/>
    <w:basedOn w:val="Normal"/>
    <w:rsid w:val="00103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103AF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6">
    <w:name w:val="font6"/>
    <w:basedOn w:val="Normal"/>
    <w:rsid w:val="00103AF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7">
    <w:name w:val="font7"/>
    <w:basedOn w:val="Normal"/>
    <w:rsid w:val="00103AF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8">
    <w:name w:val="font8"/>
    <w:basedOn w:val="Normal"/>
    <w:rsid w:val="00103AF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xl65">
    <w:name w:val="xl65"/>
    <w:basedOn w:val="Normal"/>
    <w:rsid w:val="00103AF5"/>
    <w:pP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66">
    <w:name w:val="xl66"/>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7">
    <w:name w:val="xl67"/>
    <w:basedOn w:val="Normal"/>
    <w:rsid w:val="00103AF5"/>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8">
    <w:name w:val="xl68"/>
    <w:basedOn w:val="Normal"/>
    <w:rsid w:val="00103AF5"/>
    <w:pP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69">
    <w:name w:val="xl69"/>
    <w:basedOn w:val="Normal"/>
    <w:rsid w:val="00103AF5"/>
    <w:pPr>
      <w:spacing w:before="100" w:beforeAutospacing="1" w:after="100" w:afterAutospacing="1" w:line="240" w:lineRule="auto"/>
      <w:textAlignment w:val="center"/>
    </w:pPr>
    <w:rPr>
      <w:rFonts w:ascii="Times New Roman" w:eastAsia="Times New Roman" w:hAnsi="Times New Roman" w:cs="Times New Roman"/>
      <w:b/>
      <w:bCs/>
      <w:i/>
      <w:iCs/>
      <w:color w:val="000000"/>
      <w:sz w:val="16"/>
      <w:szCs w:val="16"/>
    </w:rPr>
  </w:style>
  <w:style w:type="paragraph" w:customStyle="1" w:styleId="xl70">
    <w:name w:val="xl70"/>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1">
    <w:name w:val="xl71"/>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2">
    <w:name w:val="xl72"/>
    <w:basedOn w:val="Normal"/>
    <w:rsid w:val="00103AF5"/>
    <w:pPr>
      <w:spacing w:before="100" w:beforeAutospacing="1" w:after="100" w:afterAutospacing="1" w:line="240" w:lineRule="auto"/>
      <w:textAlignment w:val="center"/>
    </w:pPr>
    <w:rPr>
      <w:rFonts w:ascii="Times New Roman" w:eastAsia="Times New Roman" w:hAnsi="Times New Roman" w:cs="Times New Roman"/>
      <w:b/>
      <w:bCs/>
      <w:i/>
      <w:iCs/>
      <w:color w:val="000000"/>
      <w:sz w:val="16"/>
      <w:szCs w:val="16"/>
    </w:rPr>
  </w:style>
  <w:style w:type="paragraph" w:customStyle="1" w:styleId="xl73">
    <w:name w:val="xl73"/>
    <w:basedOn w:val="Normal"/>
    <w:rsid w:val="00103AF5"/>
    <w:pP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74">
    <w:name w:val="xl74"/>
    <w:basedOn w:val="Normal"/>
    <w:rsid w:val="00103AF5"/>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5">
    <w:name w:val="xl75"/>
    <w:basedOn w:val="Normal"/>
    <w:rsid w:val="00103AF5"/>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103AF5"/>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7">
    <w:name w:val="xl77"/>
    <w:basedOn w:val="Normal"/>
    <w:rsid w:val="00103AF5"/>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8">
    <w:name w:val="xl78"/>
    <w:basedOn w:val="Normal"/>
    <w:rsid w:val="00103AF5"/>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9">
    <w:name w:val="xl79"/>
    <w:basedOn w:val="Normal"/>
    <w:rsid w:val="00103AF5"/>
    <w:pP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80">
    <w:name w:val="xl80"/>
    <w:basedOn w:val="Normal"/>
    <w:rsid w:val="00103AF5"/>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1">
    <w:name w:val="xl81"/>
    <w:basedOn w:val="Normal"/>
    <w:rsid w:val="00103AF5"/>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2">
    <w:name w:val="xl82"/>
    <w:basedOn w:val="Normal"/>
    <w:rsid w:val="00103AF5"/>
    <w:pP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83">
    <w:name w:val="xl83"/>
    <w:basedOn w:val="Normal"/>
    <w:rsid w:val="00103AF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84">
    <w:name w:val="xl84"/>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5">
    <w:name w:val="xl85"/>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6">
    <w:name w:val="xl86"/>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7">
    <w:name w:val="xl87"/>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9">
    <w:name w:val="xl89"/>
    <w:basedOn w:val="Normal"/>
    <w:rsid w:val="00103AF5"/>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0">
    <w:name w:val="xl90"/>
    <w:basedOn w:val="Normal"/>
    <w:rsid w:val="00103AF5"/>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1">
    <w:name w:val="xl91"/>
    <w:basedOn w:val="Normal"/>
    <w:rsid w:val="00103AF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2">
    <w:name w:val="xl92"/>
    <w:basedOn w:val="Normal"/>
    <w:rsid w:val="00103AF5"/>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3">
    <w:name w:val="xl93"/>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94">
    <w:name w:val="xl94"/>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95">
    <w:name w:val="xl95"/>
    <w:basedOn w:val="Normal"/>
    <w:rsid w:val="00103AF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7"/>
      <w:szCs w:val="17"/>
    </w:rPr>
  </w:style>
  <w:style w:type="character" w:styleId="LineNumber">
    <w:name w:val="line number"/>
    <w:basedOn w:val="DefaultParagraphFont"/>
    <w:uiPriority w:val="99"/>
    <w:semiHidden/>
    <w:unhideWhenUsed/>
    <w:rsid w:val="00103AF5"/>
  </w:style>
  <w:style w:type="character" w:styleId="UnresolvedMention">
    <w:name w:val="Unresolved Mention"/>
    <w:basedOn w:val="DefaultParagraphFont"/>
    <w:uiPriority w:val="99"/>
    <w:semiHidden/>
    <w:unhideWhenUsed/>
    <w:rsid w:val="00103AF5"/>
    <w:rPr>
      <w:color w:val="605E5C"/>
      <w:shd w:val="clear" w:color="auto" w:fill="E1DFDD"/>
    </w:rPr>
  </w:style>
  <w:style w:type="character" w:styleId="Emphasis">
    <w:name w:val="Emphasis"/>
    <w:basedOn w:val="DefaultParagraphFont"/>
    <w:uiPriority w:val="20"/>
    <w:qFormat/>
    <w:rsid w:val="00103AF5"/>
    <w:rPr>
      <w:i/>
      <w:iCs/>
    </w:rPr>
  </w:style>
  <w:style w:type="character" w:customStyle="1" w:styleId="markedcontent">
    <w:name w:val="markedcontent"/>
    <w:basedOn w:val="DefaultParagraphFont"/>
    <w:rsid w:val="00103AF5"/>
  </w:style>
  <w:style w:type="character" w:customStyle="1" w:styleId="highlight">
    <w:name w:val="highlight"/>
    <w:basedOn w:val="DefaultParagraphFont"/>
    <w:rsid w:val="00103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37</Pages>
  <Words>48946</Words>
  <Characters>278995</Characters>
  <Application>Microsoft Office Word</Application>
  <DocSecurity>0</DocSecurity>
  <Lines>2324</Lines>
  <Paragraphs>654</Paragraphs>
  <ScaleCrop>false</ScaleCrop>
  <Company/>
  <LinksUpToDate>false</LinksUpToDate>
  <CharactersWithSpaces>327287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Tang</dc:creator>
  <cp:keywords/>
  <dc:description/>
  <cp:lastModifiedBy>Angela Tang</cp:lastModifiedBy>
  <cp:revision>3</cp:revision>
  <dcterms:created xsi:type="dcterms:W3CDTF">2023-02-18T13:06:00Z</dcterms:created>
  <dcterms:modified xsi:type="dcterms:W3CDTF">2023-02-18T16:37:00Z</dcterms:modified>
</cp:coreProperties>
</file>